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75" w:rsidRPr="00FC5541" w:rsidRDefault="00AA5315">
      <w:pPr>
        <w:pStyle w:val="Ttulo"/>
        <w:rPr>
          <w:rFonts w:ascii="Calibri" w:hAnsi="Calibri"/>
          <w:noProof/>
          <w:sz w:val="28"/>
          <w:szCs w:val="28"/>
          <w:lang w:val="es-ES"/>
        </w:rPr>
      </w:pPr>
      <w:r w:rsidRPr="00FC5541">
        <w:rPr>
          <w:rFonts w:ascii="Calibri" w:hAnsi="Calibri"/>
          <w:noProof/>
          <w:color w:val="B01513"/>
          <w:sz w:val="28"/>
          <w:szCs w:val="28"/>
          <w:lang w:val="es-ES"/>
        </w:rPr>
        <w:t>RELACIÓ</w:t>
      </w:r>
      <w:r w:rsidR="009401CB" w:rsidRPr="00FC5541">
        <w:rPr>
          <w:rFonts w:ascii="Calibri" w:hAnsi="Calibri"/>
          <w:noProof/>
          <w:color w:val="B01513"/>
          <w:sz w:val="28"/>
          <w:szCs w:val="28"/>
          <w:lang w:val="es-ES"/>
        </w:rPr>
        <w:t>N DE PROCESOS</w:t>
      </w:r>
    </w:p>
    <w:p w:rsidR="00827275" w:rsidRPr="00FC5541" w:rsidRDefault="00A83B6E">
      <w:pPr>
        <w:pStyle w:val="Ttulo1"/>
        <w:rPr>
          <w:rFonts w:ascii="Calibri" w:hAnsi="Calibri"/>
          <w:b/>
          <w:noProof/>
          <w:sz w:val="24"/>
          <w:szCs w:val="24"/>
          <w:lang w:val="es-ES"/>
        </w:rPr>
      </w:pPr>
      <w:r w:rsidRPr="00FC5541">
        <w:rPr>
          <w:rFonts w:ascii="Calibri" w:hAnsi="Calibri"/>
          <w:b/>
          <w:noProof/>
          <w:color w:val="B01513"/>
          <w:sz w:val="24"/>
          <w:szCs w:val="24"/>
          <w:lang w:val="es-ES"/>
        </w:rPr>
        <w:t xml:space="preserve">Mapa de procesos </w:t>
      </w:r>
    </w:p>
    <w:p w:rsidR="00827275" w:rsidRPr="00FC5541" w:rsidRDefault="00DA1E7C" w:rsidP="00A83B6E">
      <w:pPr>
        <w:jc w:val="both"/>
        <w:rPr>
          <w:rFonts w:ascii="Calibri" w:hAnsi="Calibri"/>
          <w:noProof/>
          <w:sz w:val="24"/>
          <w:szCs w:val="24"/>
          <w:lang w:val="es-ES"/>
        </w:rPr>
      </w:pPr>
      <w:r w:rsidRPr="00FC5541">
        <w:rPr>
          <w:rFonts w:ascii="Calibri" w:hAnsi="Calibri"/>
          <w:noProof/>
          <w:sz w:val="24"/>
          <w:szCs w:val="24"/>
          <w:lang w:val="es-ES"/>
        </w:rPr>
        <w:t xml:space="preserve">A cotninuacion </w:t>
      </w:r>
      <w:r w:rsidR="00FC5541" w:rsidRPr="00FC5541">
        <w:rPr>
          <w:rFonts w:ascii="Calibri" w:hAnsi="Calibri"/>
          <w:noProof/>
          <w:sz w:val="24"/>
          <w:szCs w:val="24"/>
          <w:lang w:val="es-ES"/>
        </w:rPr>
        <w:t xml:space="preserve">se presenta una </w:t>
      </w:r>
      <w:r w:rsidRPr="00FC5541">
        <w:rPr>
          <w:rFonts w:ascii="Calibri" w:hAnsi="Calibri"/>
          <w:noProof/>
          <w:sz w:val="24"/>
          <w:szCs w:val="24"/>
          <w:lang w:val="es-ES"/>
        </w:rPr>
        <w:t xml:space="preserve"> relaci</w:t>
      </w:r>
      <w:r w:rsidR="00A83B6E" w:rsidRPr="00FC5541">
        <w:rPr>
          <w:rFonts w:ascii="Calibri" w:hAnsi="Calibri"/>
          <w:noProof/>
          <w:sz w:val="24"/>
          <w:szCs w:val="24"/>
          <w:lang w:val="es-ES"/>
        </w:rPr>
        <w:t>on de los procesos que hacen parte del Siste</w:t>
      </w:r>
      <w:r w:rsidR="00FC5541">
        <w:rPr>
          <w:rFonts w:ascii="Calibri" w:hAnsi="Calibri"/>
          <w:noProof/>
          <w:sz w:val="24"/>
          <w:szCs w:val="24"/>
          <w:lang w:val="es-ES"/>
        </w:rPr>
        <w:t xml:space="preserve">ma Integrado de Gestion de RTVC, los cuales de </w:t>
      </w:r>
      <w:r w:rsidR="00A83B6E" w:rsidRPr="00FC5541">
        <w:rPr>
          <w:rFonts w:ascii="Calibri" w:hAnsi="Calibri"/>
          <w:noProof/>
          <w:sz w:val="24"/>
          <w:szCs w:val="24"/>
          <w:lang w:val="es-ES"/>
        </w:rPr>
        <w:t>se encuentra</w:t>
      </w:r>
      <w:r w:rsidR="00FC5541">
        <w:rPr>
          <w:rFonts w:ascii="Calibri" w:hAnsi="Calibri"/>
          <w:noProof/>
          <w:sz w:val="24"/>
          <w:szCs w:val="24"/>
          <w:lang w:val="es-ES"/>
        </w:rPr>
        <w:t xml:space="preserve">n </w:t>
      </w:r>
      <w:r w:rsidR="00A83B6E" w:rsidRPr="00FC5541">
        <w:rPr>
          <w:rFonts w:ascii="Calibri" w:hAnsi="Calibri"/>
          <w:noProof/>
          <w:sz w:val="24"/>
          <w:szCs w:val="24"/>
          <w:lang w:val="es-ES"/>
        </w:rPr>
        <w:t xml:space="preserve"> vigente </w:t>
      </w:r>
      <w:r w:rsidR="00FC5541">
        <w:rPr>
          <w:rFonts w:ascii="Calibri" w:hAnsi="Calibri"/>
          <w:noProof/>
          <w:sz w:val="24"/>
          <w:szCs w:val="24"/>
          <w:lang w:val="es-ES"/>
        </w:rPr>
        <w:t>a partir del</w:t>
      </w:r>
      <w:r w:rsidR="00A83B6E" w:rsidRPr="00FC5541">
        <w:rPr>
          <w:rFonts w:ascii="Calibri" w:hAnsi="Calibri"/>
          <w:noProof/>
          <w:sz w:val="24"/>
          <w:szCs w:val="24"/>
          <w:lang w:val="es-ES"/>
        </w:rPr>
        <w:t xml:space="preserve"> junio de 2015. Este mapa se encuentra en proceso de ajuste de acuerdo al plan de trabajo definido desde </w:t>
      </w:r>
      <w:r w:rsidR="00FC5541">
        <w:rPr>
          <w:rFonts w:ascii="Calibri" w:hAnsi="Calibri"/>
          <w:noProof/>
          <w:sz w:val="24"/>
          <w:szCs w:val="24"/>
          <w:lang w:val="es-ES"/>
        </w:rPr>
        <w:t>la Coordinación de  de P</w:t>
      </w:r>
      <w:r w:rsidR="00A83B6E" w:rsidRPr="00FC5541">
        <w:rPr>
          <w:rFonts w:ascii="Calibri" w:hAnsi="Calibri"/>
          <w:noProof/>
          <w:sz w:val="24"/>
          <w:szCs w:val="24"/>
          <w:lang w:val="es-ES"/>
        </w:rPr>
        <w:t xml:space="preserve">laneacion para la implementacion del modelo de operación </w:t>
      </w:r>
      <w:r w:rsidR="005903F9" w:rsidRPr="00FC5541">
        <w:rPr>
          <w:rFonts w:ascii="Calibri" w:hAnsi="Calibri"/>
          <w:noProof/>
          <w:sz w:val="24"/>
          <w:szCs w:val="24"/>
          <w:lang w:val="es-ES"/>
        </w:rPr>
        <w:t>por procesos eTOM.</w:t>
      </w:r>
    </w:p>
    <w:p w:rsidR="00A83B6E" w:rsidRDefault="00611821" w:rsidP="00A83B6E">
      <w:pPr>
        <w:jc w:val="both"/>
        <w:rPr>
          <w:rFonts w:ascii="Century Gothic" w:hAnsi="Century Gothic"/>
          <w:noProof/>
          <w:szCs w:val="16"/>
          <w:lang w:val="es-ES"/>
        </w:rPr>
      </w:pPr>
      <w:r w:rsidRPr="00A83B6E">
        <w:rPr>
          <w:noProof/>
          <w:lang w:val="es-CO" w:eastAsia="es-CO"/>
        </w:rPr>
        <w:drawing>
          <wp:anchor distT="0" distB="0" distL="114300" distR="114300" simplePos="0" relativeHeight="251658240" behindDoc="1" locked="0" layoutInCell="1" allowOverlap="1" wp14:anchorId="71F4A24E" wp14:editId="51037AF4">
            <wp:simplePos x="0" y="0"/>
            <wp:positionH relativeFrom="margin">
              <wp:posOffset>1000125</wp:posOffset>
            </wp:positionH>
            <wp:positionV relativeFrom="paragraph">
              <wp:posOffset>153670</wp:posOffset>
            </wp:positionV>
            <wp:extent cx="6124575" cy="4060825"/>
            <wp:effectExtent l="19050" t="19050" r="28575" b="1587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060825"/>
                    </a:xfrm>
                    <a:prstGeom prst="rect">
                      <a:avLst/>
                    </a:prstGeom>
                    <a:noFill/>
                    <a:ln w="9525">
                      <a:solidFill>
                        <a:srgbClr val="000000"/>
                      </a:solidFill>
                      <a:miter lim="800000"/>
                      <a:headEnd/>
                      <a:tailEnd/>
                    </a:ln>
                    <a:extLst/>
                  </pic:spPr>
                </pic:pic>
              </a:graphicData>
            </a:graphic>
            <wp14:sizeRelH relativeFrom="margin">
              <wp14:pctWidth>0</wp14:pctWidth>
            </wp14:sizeRelH>
          </wp:anchor>
        </w:drawing>
      </w: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A83B6E" w:rsidRDefault="00A83B6E" w:rsidP="00A83B6E">
      <w:pPr>
        <w:jc w:val="both"/>
        <w:rPr>
          <w:rFonts w:ascii="Century Gothic" w:hAnsi="Century Gothic"/>
          <w:noProof/>
          <w:szCs w:val="16"/>
          <w:lang w:val="es-ES"/>
        </w:rPr>
      </w:pPr>
    </w:p>
    <w:p w:rsidR="00FC5541" w:rsidRDefault="00FC5541" w:rsidP="00A83B6E">
      <w:pPr>
        <w:jc w:val="both"/>
        <w:rPr>
          <w:rFonts w:ascii="Century Gothic" w:hAnsi="Century Gothic"/>
          <w:noProof/>
          <w:szCs w:val="16"/>
          <w:lang w:val="es-ES"/>
        </w:rPr>
      </w:pPr>
    </w:p>
    <w:p w:rsidR="00A83B6E" w:rsidRPr="00FC5541" w:rsidRDefault="00A83B6E" w:rsidP="00A83B6E">
      <w:pPr>
        <w:jc w:val="both"/>
        <w:rPr>
          <w:rFonts w:ascii="Calibri" w:hAnsi="Calibri"/>
          <w:noProof/>
          <w:sz w:val="24"/>
          <w:szCs w:val="24"/>
          <w:lang w:val="es-ES"/>
        </w:rPr>
      </w:pPr>
      <w:r w:rsidRPr="00FC5541">
        <w:rPr>
          <w:rFonts w:ascii="Calibri" w:hAnsi="Calibri"/>
          <w:noProof/>
          <w:sz w:val="24"/>
          <w:szCs w:val="24"/>
          <w:lang w:val="es-ES"/>
        </w:rPr>
        <w:lastRenderedPageBreak/>
        <w:t xml:space="preserve">El Sistema integrado de Gestion de RTVC esta conformado por 16 procesos de primer nivel, los cuales se clasifican de acuerdo a cuatro (4) categorias </w:t>
      </w:r>
    </w:p>
    <w:p w:rsidR="00EE3F05" w:rsidRPr="00FC5541" w:rsidRDefault="00EE3F05" w:rsidP="00EE3F05">
      <w:pPr>
        <w:pStyle w:val="Prrafodelista"/>
        <w:numPr>
          <w:ilvl w:val="0"/>
          <w:numId w:val="3"/>
        </w:numPr>
        <w:jc w:val="both"/>
        <w:rPr>
          <w:rFonts w:ascii="Calibri" w:hAnsi="Calibri"/>
          <w:noProof/>
          <w:sz w:val="24"/>
          <w:szCs w:val="24"/>
          <w:lang w:val="es-ES"/>
        </w:rPr>
      </w:pPr>
      <w:r w:rsidRPr="00FC5541">
        <w:rPr>
          <w:rFonts w:ascii="Calibri" w:hAnsi="Calibri"/>
          <w:noProof/>
          <w:sz w:val="24"/>
          <w:szCs w:val="24"/>
          <w:lang w:val="es-ES"/>
        </w:rPr>
        <w:t>Procesos estrategicos</w:t>
      </w:r>
    </w:p>
    <w:p w:rsidR="00EE3F05" w:rsidRPr="00FC5541" w:rsidRDefault="00EE3F05" w:rsidP="00EE3F05">
      <w:pPr>
        <w:pStyle w:val="Prrafodelista"/>
        <w:numPr>
          <w:ilvl w:val="0"/>
          <w:numId w:val="3"/>
        </w:numPr>
        <w:jc w:val="both"/>
        <w:rPr>
          <w:rFonts w:ascii="Calibri" w:hAnsi="Calibri"/>
          <w:noProof/>
          <w:sz w:val="24"/>
          <w:szCs w:val="24"/>
          <w:lang w:val="es-ES"/>
        </w:rPr>
      </w:pPr>
      <w:r w:rsidRPr="00FC5541">
        <w:rPr>
          <w:rFonts w:ascii="Calibri" w:hAnsi="Calibri"/>
          <w:noProof/>
          <w:sz w:val="24"/>
          <w:szCs w:val="24"/>
          <w:lang w:val="es-ES"/>
        </w:rPr>
        <w:t xml:space="preserve">Procesos misionales </w:t>
      </w:r>
    </w:p>
    <w:p w:rsidR="00EE3F05" w:rsidRPr="00FC5541" w:rsidRDefault="00EE3F05" w:rsidP="00EE3F05">
      <w:pPr>
        <w:pStyle w:val="Prrafodelista"/>
        <w:numPr>
          <w:ilvl w:val="0"/>
          <w:numId w:val="3"/>
        </w:numPr>
        <w:jc w:val="both"/>
        <w:rPr>
          <w:rFonts w:ascii="Calibri" w:hAnsi="Calibri"/>
          <w:noProof/>
          <w:sz w:val="24"/>
          <w:szCs w:val="24"/>
          <w:lang w:val="es-ES"/>
        </w:rPr>
      </w:pPr>
      <w:r w:rsidRPr="00FC5541">
        <w:rPr>
          <w:rFonts w:ascii="Calibri" w:hAnsi="Calibri"/>
          <w:noProof/>
          <w:sz w:val="24"/>
          <w:szCs w:val="24"/>
          <w:lang w:val="es-ES"/>
        </w:rPr>
        <w:t>Procesos de apoyo</w:t>
      </w:r>
    </w:p>
    <w:p w:rsidR="00EE3F05" w:rsidRPr="00FC5541" w:rsidRDefault="00EE3F05" w:rsidP="00EE3F05">
      <w:pPr>
        <w:pStyle w:val="Prrafodelista"/>
        <w:numPr>
          <w:ilvl w:val="0"/>
          <w:numId w:val="3"/>
        </w:numPr>
        <w:jc w:val="both"/>
        <w:rPr>
          <w:rFonts w:ascii="Calibri" w:hAnsi="Calibri"/>
          <w:noProof/>
          <w:sz w:val="24"/>
          <w:szCs w:val="24"/>
          <w:lang w:val="es-ES"/>
        </w:rPr>
      </w:pPr>
      <w:r w:rsidRPr="00FC5541">
        <w:rPr>
          <w:rFonts w:ascii="Calibri" w:hAnsi="Calibri"/>
          <w:noProof/>
          <w:sz w:val="24"/>
          <w:szCs w:val="24"/>
          <w:lang w:val="es-ES"/>
        </w:rPr>
        <w:t>Procesos de evaluacion y Control</w:t>
      </w:r>
    </w:p>
    <w:p w:rsidR="006A002C" w:rsidRPr="00FC5541" w:rsidRDefault="006A002C" w:rsidP="006A002C">
      <w:pPr>
        <w:jc w:val="both"/>
        <w:rPr>
          <w:rFonts w:ascii="Calibri" w:hAnsi="Calibri"/>
          <w:noProof/>
          <w:sz w:val="24"/>
          <w:szCs w:val="24"/>
          <w:lang w:val="es-ES"/>
        </w:rPr>
      </w:pPr>
      <w:r w:rsidRPr="00FC5541">
        <w:rPr>
          <w:rFonts w:ascii="Calibri" w:hAnsi="Calibri"/>
          <w:noProof/>
          <w:sz w:val="24"/>
          <w:szCs w:val="24"/>
          <w:lang w:val="es-ES"/>
        </w:rPr>
        <w:t>Cada proceso que hace parte del sistema integrado de gestion que se encuentra descrito en el mapa de RTVC se denomina proceso de primer nivel, ellos a su vez se componen de procesos de segundo nivel los cuales se listan a continuacion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2883"/>
        <w:gridCol w:w="5866"/>
      </w:tblGrid>
      <w:tr w:rsidR="008D1448" w:rsidRPr="00D87064" w:rsidTr="008D1448">
        <w:trPr>
          <w:trHeight w:val="596"/>
          <w:tblHeader/>
        </w:trPr>
        <w:tc>
          <w:tcPr>
            <w:tcW w:w="1622" w:type="pct"/>
            <w:shd w:val="clear" w:color="auto" w:fill="EAF1DD"/>
            <w:vAlign w:val="center"/>
          </w:tcPr>
          <w:p w:rsidR="008D1448" w:rsidRPr="00FC5541" w:rsidRDefault="008D1448" w:rsidP="00815D05">
            <w:pPr>
              <w:spacing w:after="0" w:line="240" w:lineRule="auto"/>
              <w:jc w:val="center"/>
              <w:rPr>
                <w:rFonts w:ascii="Calibri" w:hAnsi="Calibri"/>
                <w:b/>
                <w:sz w:val="18"/>
                <w:szCs w:val="18"/>
                <w:lang w:val="es-CO"/>
              </w:rPr>
            </w:pPr>
            <w:r w:rsidRPr="00FC5541">
              <w:rPr>
                <w:rFonts w:ascii="Calibri" w:hAnsi="Calibri"/>
                <w:b/>
                <w:sz w:val="18"/>
                <w:szCs w:val="18"/>
                <w:lang w:val="es-CO"/>
              </w:rPr>
              <w:t>Procesos de primer nivel</w:t>
            </w:r>
          </w:p>
        </w:tc>
        <w:tc>
          <w:tcPr>
            <w:tcW w:w="1113" w:type="pct"/>
            <w:shd w:val="clear" w:color="auto" w:fill="EAF1DD"/>
            <w:vAlign w:val="center"/>
          </w:tcPr>
          <w:p w:rsidR="008D1448" w:rsidRPr="00FC5541" w:rsidRDefault="008D1448" w:rsidP="00815D05">
            <w:pPr>
              <w:spacing w:after="0" w:line="240" w:lineRule="auto"/>
              <w:jc w:val="center"/>
              <w:rPr>
                <w:rFonts w:ascii="Calibri" w:hAnsi="Calibri"/>
                <w:b/>
                <w:sz w:val="18"/>
                <w:szCs w:val="18"/>
                <w:lang w:val="es-CO"/>
              </w:rPr>
            </w:pPr>
            <w:r w:rsidRPr="00FC5541">
              <w:rPr>
                <w:rFonts w:ascii="Calibri" w:hAnsi="Calibri"/>
                <w:b/>
                <w:sz w:val="18"/>
                <w:szCs w:val="18"/>
                <w:lang w:val="es-CO"/>
              </w:rPr>
              <w:t>Procesos de Segundo nivel</w:t>
            </w:r>
          </w:p>
        </w:tc>
        <w:tc>
          <w:tcPr>
            <w:tcW w:w="2265" w:type="pct"/>
            <w:shd w:val="clear" w:color="auto" w:fill="EAF1DD"/>
            <w:vAlign w:val="center"/>
          </w:tcPr>
          <w:p w:rsidR="008D1448" w:rsidRPr="00FC5541" w:rsidRDefault="008D1448" w:rsidP="00815D05">
            <w:pPr>
              <w:spacing w:after="0" w:line="240" w:lineRule="auto"/>
              <w:jc w:val="center"/>
              <w:rPr>
                <w:rFonts w:ascii="Calibri" w:hAnsi="Calibri"/>
                <w:b/>
                <w:sz w:val="18"/>
                <w:szCs w:val="18"/>
                <w:lang w:val="es-CO"/>
              </w:rPr>
            </w:pPr>
            <w:r w:rsidRPr="00FC5541">
              <w:rPr>
                <w:rFonts w:ascii="Calibri" w:hAnsi="Calibri"/>
                <w:b/>
                <w:sz w:val="18"/>
                <w:szCs w:val="18"/>
                <w:lang w:val="es-CO"/>
              </w:rPr>
              <w:t>Objetivo del proceso</w:t>
            </w:r>
            <w:r w:rsidR="006A002C" w:rsidRPr="00FC5541">
              <w:rPr>
                <w:rFonts w:ascii="Calibri" w:hAnsi="Calibri"/>
                <w:b/>
                <w:sz w:val="18"/>
                <w:szCs w:val="18"/>
                <w:lang w:val="es-CO"/>
              </w:rPr>
              <w:t xml:space="preserve"> (descripción) </w:t>
            </w:r>
          </w:p>
        </w:tc>
      </w:tr>
      <w:tr w:rsidR="007D155A" w:rsidRPr="00D87064" w:rsidTr="008D1448">
        <w:trPr>
          <w:trHeight w:val="82"/>
        </w:trPr>
        <w:tc>
          <w:tcPr>
            <w:tcW w:w="1622" w:type="pct"/>
            <w:vMerge w:val="restart"/>
            <w:vAlign w:val="center"/>
          </w:tcPr>
          <w:p w:rsidR="007D155A" w:rsidRPr="00FC5541" w:rsidRDefault="007D155A" w:rsidP="00815D05">
            <w:pPr>
              <w:spacing w:after="0" w:line="240" w:lineRule="auto"/>
              <w:jc w:val="both"/>
              <w:rPr>
                <w:rFonts w:ascii="Calibri" w:hAnsi="Calibri"/>
                <w:b/>
                <w:sz w:val="18"/>
                <w:szCs w:val="18"/>
                <w:lang w:val="es-CO"/>
              </w:rPr>
            </w:pPr>
            <w:r w:rsidRPr="00FC5541">
              <w:rPr>
                <w:rFonts w:ascii="Calibri" w:hAnsi="Calibri"/>
                <w:b/>
                <w:sz w:val="18"/>
                <w:szCs w:val="18"/>
                <w:lang w:val="es-CO"/>
              </w:rPr>
              <w:t>Planeación y desarrollo estratégico</w:t>
            </w:r>
          </w:p>
        </w:tc>
        <w:tc>
          <w:tcPr>
            <w:tcW w:w="1113" w:type="pct"/>
            <w:vAlign w:val="center"/>
          </w:tcPr>
          <w:p w:rsidR="007D155A" w:rsidRPr="00FC5541" w:rsidRDefault="007D155A" w:rsidP="00815D05">
            <w:pPr>
              <w:spacing w:after="0" w:line="240" w:lineRule="auto"/>
              <w:jc w:val="both"/>
              <w:rPr>
                <w:rFonts w:ascii="Calibri" w:hAnsi="Calibri"/>
                <w:sz w:val="18"/>
                <w:szCs w:val="18"/>
                <w:lang w:val="es-CO"/>
              </w:rPr>
            </w:pPr>
            <w:r w:rsidRPr="00FC5541">
              <w:rPr>
                <w:rFonts w:ascii="Calibri" w:hAnsi="Calibri"/>
                <w:sz w:val="18"/>
                <w:szCs w:val="18"/>
                <w:lang w:val="es-CO"/>
              </w:rPr>
              <w:t>Planificación financiera</w:t>
            </w:r>
          </w:p>
        </w:tc>
        <w:tc>
          <w:tcPr>
            <w:tcW w:w="2265" w:type="pct"/>
            <w:vMerge w:val="restart"/>
          </w:tcPr>
          <w:p w:rsidR="007D155A" w:rsidRPr="00FC5541" w:rsidRDefault="007D155A" w:rsidP="008D1448">
            <w:pPr>
              <w:spacing w:after="0" w:line="240" w:lineRule="auto"/>
              <w:jc w:val="both"/>
              <w:rPr>
                <w:rFonts w:ascii="Calibri" w:hAnsi="Calibri"/>
                <w:sz w:val="18"/>
                <w:szCs w:val="18"/>
                <w:lang w:val="es-CO"/>
              </w:rPr>
            </w:pPr>
            <w:r w:rsidRPr="00FC5541">
              <w:rPr>
                <w:rFonts w:ascii="Calibri" w:hAnsi="Calibri"/>
                <w:sz w:val="18"/>
                <w:szCs w:val="18"/>
                <w:lang w:val="es-ES"/>
              </w:rPr>
              <w:t>Generar lineamientos que permitan construir una visión integral de la empresa,  asegurando el cumplimiento de la plan estratégico, las políticas de desarrollo administrativo y la realización de los ajustes que sean necesarios.</w:t>
            </w:r>
          </w:p>
        </w:tc>
      </w:tr>
      <w:tr w:rsidR="007D155A" w:rsidRPr="00D87064" w:rsidTr="008D1448">
        <w:trPr>
          <w:trHeight w:val="82"/>
        </w:trPr>
        <w:tc>
          <w:tcPr>
            <w:tcW w:w="1622" w:type="pct"/>
            <w:vMerge/>
            <w:vAlign w:val="center"/>
          </w:tcPr>
          <w:p w:rsidR="007D155A" w:rsidRPr="00FC5541" w:rsidRDefault="007D155A" w:rsidP="00815D05">
            <w:pPr>
              <w:spacing w:after="0" w:line="240" w:lineRule="auto"/>
              <w:jc w:val="both"/>
              <w:rPr>
                <w:rFonts w:ascii="Calibri" w:hAnsi="Calibri"/>
                <w:b/>
                <w:sz w:val="18"/>
                <w:szCs w:val="18"/>
                <w:lang w:val="es-CO"/>
              </w:rPr>
            </w:pPr>
          </w:p>
        </w:tc>
        <w:tc>
          <w:tcPr>
            <w:tcW w:w="1113" w:type="pct"/>
            <w:vAlign w:val="center"/>
          </w:tcPr>
          <w:p w:rsidR="007D155A" w:rsidRPr="00FC5541" w:rsidRDefault="007D155A" w:rsidP="00815D05">
            <w:pPr>
              <w:spacing w:after="0" w:line="240" w:lineRule="auto"/>
              <w:jc w:val="both"/>
              <w:rPr>
                <w:rFonts w:ascii="Calibri" w:hAnsi="Calibri"/>
                <w:sz w:val="18"/>
                <w:szCs w:val="18"/>
                <w:lang w:val="es-CO"/>
              </w:rPr>
            </w:pPr>
            <w:r w:rsidRPr="00FC5541">
              <w:rPr>
                <w:rFonts w:ascii="Calibri" w:hAnsi="Calibri"/>
                <w:sz w:val="18"/>
                <w:szCs w:val="18"/>
                <w:lang w:val="es-CO"/>
              </w:rPr>
              <w:t>Planeación estratégica</w:t>
            </w:r>
          </w:p>
        </w:tc>
        <w:tc>
          <w:tcPr>
            <w:tcW w:w="2265" w:type="pct"/>
            <w:vMerge/>
          </w:tcPr>
          <w:p w:rsidR="007D155A" w:rsidRPr="00FC5541" w:rsidRDefault="007D155A" w:rsidP="00815D05">
            <w:pPr>
              <w:spacing w:after="0" w:line="240" w:lineRule="auto"/>
              <w:jc w:val="both"/>
              <w:rPr>
                <w:rFonts w:ascii="Calibri" w:hAnsi="Calibri"/>
                <w:sz w:val="18"/>
                <w:szCs w:val="18"/>
                <w:lang w:val="es-CO"/>
              </w:rPr>
            </w:pPr>
          </w:p>
        </w:tc>
      </w:tr>
      <w:tr w:rsidR="007D155A" w:rsidRPr="00D87064" w:rsidTr="008D1448">
        <w:trPr>
          <w:trHeight w:val="233"/>
        </w:trPr>
        <w:tc>
          <w:tcPr>
            <w:tcW w:w="1622" w:type="pct"/>
            <w:vMerge/>
            <w:vAlign w:val="center"/>
          </w:tcPr>
          <w:p w:rsidR="007D155A" w:rsidRPr="00FC5541" w:rsidRDefault="007D155A" w:rsidP="00815D05">
            <w:pPr>
              <w:spacing w:after="0" w:line="240" w:lineRule="auto"/>
              <w:jc w:val="both"/>
              <w:rPr>
                <w:rFonts w:ascii="Calibri" w:hAnsi="Calibri"/>
                <w:b/>
                <w:sz w:val="18"/>
                <w:szCs w:val="18"/>
                <w:lang w:val="es-CO"/>
              </w:rPr>
            </w:pPr>
          </w:p>
        </w:tc>
        <w:tc>
          <w:tcPr>
            <w:tcW w:w="1113" w:type="pct"/>
            <w:vAlign w:val="center"/>
          </w:tcPr>
          <w:p w:rsidR="007D155A" w:rsidRPr="00FC5541" w:rsidRDefault="007D155A" w:rsidP="00815D05">
            <w:pPr>
              <w:spacing w:after="0" w:line="240" w:lineRule="auto"/>
              <w:rPr>
                <w:rFonts w:ascii="Calibri" w:hAnsi="Calibri"/>
                <w:sz w:val="18"/>
                <w:szCs w:val="18"/>
                <w:lang w:val="es-CO"/>
              </w:rPr>
            </w:pPr>
            <w:r w:rsidRPr="00FC5541">
              <w:rPr>
                <w:rFonts w:ascii="Calibri" w:hAnsi="Calibri"/>
                <w:sz w:val="18"/>
                <w:szCs w:val="18"/>
                <w:lang w:val="es-CO"/>
              </w:rPr>
              <w:t>Gestión de proyectos</w:t>
            </w:r>
          </w:p>
        </w:tc>
        <w:tc>
          <w:tcPr>
            <w:tcW w:w="2265" w:type="pct"/>
            <w:vMerge/>
          </w:tcPr>
          <w:p w:rsidR="007D155A" w:rsidRPr="00FC5541" w:rsidRDefault="007D155A" w:rsidP="00815D05">
            <w:pPr>
              <w:spacing w:after="0" w:line="240" w:lineRule="auto"/>
              <w:rPr>
                <w:rFonts w:ascii="Calibri" w:hAnsi="Calibri"/>
                <w:sz w:val="18"/>
                <w:szCs w:val="18"/>
                <w:lang w:val="es-CO"/>
              </w:rPr>
            </w:pPr>
          </w:p>
        </w:tc>
      </w:tr>
      <w:tr w:rsidR="007D155A" w:rsidRPr="00D87064" w:rsidTr="008D1448">
        <w:trPr>
          <w:trHeight w:val="204"/>
        </w:trPr>
        <w:tc>
          <w:tcPr>
            <w:tcW w:w="1622" w:type="pct"/>
            <w:vMerge w:val="restart"/>
            <w:vAlign w:val="center"/>
          </w:tcPr>
          <w:p w:rsidR="007D155A" w:rsidRPr="00FC5541" w:rsidRDefault="007D155A"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de la efectividad empresarial</w:t>
            </w:r>
          </w:p>
        </w:tc>
        <w:tc>
          <w:tcPr>
            <w:tcW w:w="1113" w:type="pct"/>
            <w:vAlign w:val="center"/>
          </w:tcPr>
          <w:p w:rsidR="007D155A" w:rsidRPr="00FC5541" w:rsidRDefault="007D155A" w:rsidP="00815D05">
            <w:pPr>
              <w:spacing w:after="0" w:line="240" w:lineRule="auto"/>
              <w:jc w:val="both"/>
              <w:rPr>
                <w:rFonts w:ascii="Calibri" w:hAnsi="Calibri"/>
                <w:sz w:val="18"/>
                <w:szCs w:val="18"/>
                <w:lang w:val="es-CO"/>
              </w:rPr>
            </w:pPr>
            <w:r w:rsidRPr="00FC5541">
              <w:rPr>
                <w:rFonts w:ascii="Calibri" w:hAnsi="Calibri"/>
                <w:sz w:val="18"/>
                <w:szCs w:val="18"/>
                <w:lang w:val="es-CO"/>
              </w:rPr>
              <w:t xml:space="preserve">Rendición de cuenta </w:t>
            </w:r>
          </w:p>
        </w:tc>
        <w:tc>
          <w:tcPr>
            <w:tcW w:w="2265" w:type="pct"/>
            <w:vMerge w:val="restart"/>
          </w:tcPr>
          <w:p w:rsidR="007D155A" w:rsidRPr="00FC5541" w:rsidRDefault="007D155A" w:rsidP="007D155A">
            <w:pPr>
              <w:spacing w:after="0" w:line="240" w:lineRule="auto"/>
              <w:jc w:val="both"/>
              <w:rPr>
                <w:rFonts w:ascii="Calibri" w:hAnsi="Calibri"/>
                <w:sz w:val="18"/>
                <w:szCs w:val="18"/>
                <w:lang w:val="es-CO"/>
              </w:rPr>
            </w:pPr>
            <w:r w:rsidRPr="00FC5541">
              <w:rPr>
                <w:rFonts w:ascii="Calibri" w:hAnsi="Calibri"/>
                <w:sz w:val="18"/>
                <w:szCs w:val="18"/>
                <w:lang w:val="es-ES"/>
              </w:rPr>
              <w:t xml:space="preserve">Realizar seguimiento al cumplimiento del plan estratégico definido y a la gestión de la Empresa, realizando su divulgación a los diferentes </w:t>
            </w:r>
            <w:proofErr w:type="spellStart"/>
            <w:r w:rsidRPr="00FC5541">
              <w:rPr>
                <w:rFonts w:ascii="Calibri" w:hAnsi="Calibri"/>
                <w:sz w:val="18"/>
                <w:szCs w:val="18"/>
                <w:lang w:val="es-ES"/>
              </w:rPr>
              <w:t>stakeholders</w:t>
            </w:r>
            <w:proofErr w:type="spellEnd"/>
            <w:r w:rsidRPr="00FC5541">
              <w:rPr>
                <w:rFonts w:ascii="Calibri" w:hAnsi="Calibri"/>
                <w:sz w:val="18"/>
                <w:szCs w:val="18"/>
                <w:lang w:val="es-ES"/>
              </w:rPr>
              <w:t xml:space="preserve"> a través de mecanismos como la rendición de cuentas, con el fin de realizar los ajustes que correspondan buscando la mejora continua de la Empresa.</w:t>
            </w:r>
          </w:p>
        </w:tc>
      </w:tr>
      <w:tr w:rsidR="007D155A" w:rsidRPr="00D87064" w:rsidTr="008D1448">
        <w:trPr>
          <w:trHeight w:val="70"/>
        </w:trPr>
        <w:tc>
          <w:tcPr>
            <w:tcW w:w="1622" w:type="pct"/>
            <w:vMerge/>
            <w:vAlign w:val="center"/>
          </w:tcPr>
          <w:p w:rsidR="007D155A" w:rsidRPr="00FC5541" w:rsidRDefault="007D155A" w:rsidP="00815D05">
            <w:pPr>
              <w:spacing w:after="0" w:line="240" w:lineRule="auto"/>
              <w:jc w:val="both"/>
              <w:rPr>
                <w:rFonts w:ascii="Calibri" w:hAnsi="Calibri"/>
                <w:sz w:val="18"/>
                <w:szCs w:val="18"/>
                <w:lang w:val="es-CO"/>
              </w:rPr>
            </w:pPr>
          </w:p>
        </w:tc>
        <w:tc>
          <w:tcPr>
            <w:tcW w:w="1113" w:type="pct"/>
            <w:vAlign w:val="center"/>
          </w:tcPr>
          <w:p w:rsidR="007D155A" w:rsidRPr="00FC5541" w:rsidRDefault="007D155A" w:rsidP="00815D05">
            <w:pPr>
              <w:spacing w:after="0" w:line="240" w:lineRule="auto"/>
              <w:jc w:val="both"/>
              <w:rPr>
                <w:rFonts w:ascii="Calibri" w:hAnsi="Calibri"/>
                <w:sz w:val="18"/>
                <w:szCs w:val="18"/>
                <w:lang w:val="es-CO"/>
              </w:rPr>
            </w:pPr>
            <w:r w:rsidRPr="00FC5541">
              <w:rPr>
                <w:rFonts w:ascii="Calibri" w:hAnsi="Calibri"/>
                <w:sz w:val="18"/>
                <w:szCs w:val="18"/>
                <w:lang w:val="es-CO"/>
              </w:rPr>
              <w:t>Seguimiento al BSC</w:t>
            </w:r>
          </w:p>
        </w:tc>
        <w:tc>
          <w:tcPr>
            <w:tcW w:w="2265" w:type="pct"/>
            <w:vMerge/>
          </w:tcPr>
          <w:p w:rsidR="007D155A" w:rsidRPr="00FC5541" w:rsidRDefault="007D155A" w:rsidP="00815D05">
            <w:pPr>
              <w:spacing w:after="0" w:line="240" w:lineRule="auto"/>
              <w:jc w:val="both"/>
              <w:rPr>
                <w:rFonts w:ascii="Calibri" w:hAnsi="Calibri"/>
                <w:sz w:val="18"/>
                <w:szCs w:val="18"/>
                <w:lang w:val="es-CO"/>
              </w:rPr>
            </w:pPr>
          </w:p>
        </w:tc>
      </w:tr>
      <w:tr w:rsidR="007D155A" w:rsidRPr="00D87064" w:rsidTr="008D1448">
        <w:trPr>
          <w:trHeight w:val="196"/>
        </w:trPr>
        <w:tc>
          <w:tcPr>
            <w:tcW w:w="1622" w:type="pct"/>
            <w:vMerge/>
            <w:vAlign w:val="center"/>
          </w:tcPr>
          <w:p w:rsidR="007D155A" w:rsidRPr="00FC5541" w:rsidRDefault="007D155A" w:rsidP="00815D05">
            <w:pPr>
              <w:spacing w:after="0" w:line="240" w:lineRule="auto"/>
              <w:jc w:val="both"/>
              <w:rPr>
                <w:rFonts w:ascii="Calibri" w:hAnsi="Calibri"/>
                <w:b/>
                <w:sz w:val="18"/>
                <w:szCs w:val="18"/>
                <w:lang w:val="es-CO"/>
              </w:rPr>
            </w:pPr>
          </w:p>
        </w:tc>
        <w:tc>
          <w:tcPr>
            <w:tcW w:w="1113" w:type="pct"/>
            <w:vAlign w:val="center"/>
          </w:tcPr>
          <w:p w:rsidR="007D155A" w:rsidRPr="00FC5541" w:rsidRDefault="007D155A" w:rsidP="00815D05">
            <w:pPr>
              <w:spacing w:after="0" w:line="240" w:lineRule="auto"/>
              <w:rPr>
                <w:rFonts w:ascii="Calibri" w:hAnsi="Calibri"/>
                <w:sz w:val="18"/>
                <w:szCs w:val="18"/>
                <w:lang w:val="es-CO"/>
              </w:rPr>
            </w:pPr>
            <w:r w:rsidRPr="00FC5541">
              <w:rPr>
                <w:rFonts w:ascii="Calibri" w:hAnsi="Calibri"/>
                <w:sz w:val="18"/>
                <w:szCs w:val="18"/>
                <w:lang w:val="es-CO"/>
              </w:rPr>
              <w:t>Gestión de proceso</w:t>
            </w:r>
          </w:p>
        </w:tc>
        <w:tc>
          <w:tcPr>
            <w:tcW w:w="2265" w:type="pct"/>
            <w:vMerge/>
          </w:tcPr>
          <w:p w:rsidR="007D155A" w:rsidRPr="00FC5541" w:rsidRDefault="007D155A" w:rsidP="00815D05">
            <w:pPr>
              <w:spacing w:after="0" w:line="240" w:lineRule="auto"/>
              <w:rPr>
                <w:rFonts w:ascii="Calibri" w:hAnsi="Calibri"/>
                <w:sz w:val="18"/>
                <w:szCs w:val="18"/>
                <w:lang w:val="es-CO"/>
              </w:rPr>
            </w:pPr>
          </w:p>
        </w:tc>
      </w:tr>
      <w:tr w:rsidR="001507F4" w:rsidRPr="00D87064" w:rsidTr="008D1448">
        <w:trPr>
          <w:trHeight w:val="196"/>
        </w:trPr>
        <w:tc>
          <w:tcPr>
            <w:tcW w:w="1622" w:type="pct"/>
            <w:vMerge w:val="restart"/>
            <w:vAlign w:val="center"/>
          </w:tcPr>
          <w:p w:rsidR="001507F4" w:rsidRPr="00FC5541" w:rsidRDefault="001507F4"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de relación con interesados</w:t>
            </w:r>
          </w:p>
        </w:tc>
        <w:tc>
          <w:tcPr>
            <w:tcW w:w="1113" w:type="pct"/>
            <w:vAlign w:val="center"/>
          </w:tcPr>
          <w:p w:rsidR="001507F4" w:rsidRPr="00FC5541" w:rsidRDefault="001507F4" w:rsidP="00815D05">
            <w:pPr>
              <w:spacing w:after="0" w:line="240" w:lineRule="auto"/>
              <w:rPr>
                <w:rFonts w:ascii="Calibri" w:hAnsi="Calibri"/>
                <w:sz w:val="18"/>
                <w:szCs w:val="18"/>
                <w:lang w:val="es-CO"/>
              </w:rPr>
            </w:pPr>
            <w:r w:rsidRPr="00FC5541">
              <w:rPr>
                <w:rFonts w:ascii="Calibri" w:hAnsi="Calibri"/>
                <w:sz w:val="18"/>
                <w:szCs w:val="18"/>
                <w:lang w:val="es-CO"/>
              </w:rPr>
              <w:t>Gestión de comunicaciones</w:t>
            </w:r>
          </w:p>
        </w:tc>
        <w:tc>
          <w:tcPr>
            <w:tcW w:w="2265" w:type="pct"/>
            <w:vMerge w:val="restart"/>
          </w:tcPr>
          <w:p w:rsidR="001507F4" w:rsidRPr="00FC5541" w:rsidRDefault="001507F4" w:rsidP="001507F4">
            <w:pPr>
              <w:spacing w:after="0" w:line="240" w:lineRule="auto"/>
              <w:jc w:val="both"/>
              <w:rPr>
                <w:rFonts w:ascii="Calibri" w:hAnsi="Calibri"/>
                <w:sz w:val="18"/>
                <w:szCs w:val="18"/>
                <w:lang w:val="es-CO"/>
              </w:rPr>
            </w:pPr>
            <w:r w:rsidRPr="00FC5541">
              <w:rPr>
                <w:rFonts w:ascii="Calibri" w:hAnsi="Calibri"/>
                <w:sz w:val="18"/>
                <w:szCs w:val="18"/>
                <w:lang w:val="es-CO"/>
              </w:rPr>
              <w:t>Gestionar las relaciones estratégicas de la empresa con grupos de interés internos y externos con el fin de desarrollar los lineamientos del plan estratégico y el plan de comunicaciones de RTVC, minimizando los impactos que se genere para la empresa a nivel de gobierno corporativo, regulatorio, social y ambiental.</w:t>
            </w:r>
          </w:p>
        </w:tc>
      </w:tr>
      <w:tr w:rsidR="001507F4" w:rsidRPr="00D87064" w:rsidTr="008D1448">
        <w:trPr>
          <w:trHeight w:val="196"/>
        </w:trPr>
        <w:tc>
          <w:tcPr>
            <w:tcW w:w="1622" w:type="pct"/>
            <w:vMerge/>
            <w:vAlign w:val="center"/>
          </w:tcPr>
          <w:p w:rsidR="001507F4" w:rsidRPr="00FC5541" w:rsidRDefault="001507F4" w:rsidP="00815D05">
            <w:pPr>
              <w:spacing w:after="0" w:line="240" w:lineRule="auto"/>
              <w:jc w:val="both"/>
              <w:rPr>
                <w:rFonts w:ascii="Calibri" w:hAnsi="Calibri"/>
                <w:b/>
                <w:sz w:val="18"/>
                <w:szCs w:val="18"/>
                <w:lang w:val="es-CO"/>
              </w:rPr>
            </w:pPr>
          </w:p>
        </w:tc>
        <w:tc>
          <w:tcPr>
            <w:tcW w:w="1113" w:type="pct"/>
            <w:vAlign w:val="center"/>
          </w:tcPr>
          <w:p w:rsidR="001507F4" w:rsidRPr="00FC5541" w:rsidRDefault="001507F4" w:rsidP="00815D05">
            <w:pPr>
              <w:spacing w:after="0" w:line="240" w:lineRule="auto"/>
              <w:rPr>
                <w:rFonts w:ascii="Calibri" w:hAnsi="Calibri"/>
                <w:sz w:val="18"/>
                <w:szCs w:val="18"/>
                <w:lang w:val="es-CO"/>
              </w:rPr>
            </w:pPr>
            <w:r w:rsidRPr="00FC5541">
              <w:rPr>
                <w:rFonts w:ascii="Calibri" w:hAnsi="Calibri"/>
                <w:sz w:val="18"/>
                <w:szCs w:val="18"/>
                <w:lang w:val="es-CO"/>
              </w:rPr>
              <w:t>Gestión ambiental</w:t>
            </w:r>
          </w:p>
        </w:tc>
        <w:tc>
          <w:tcPr>
            <w:tcW w:w="2265" w:type="pct"/>
            <w:vMerge/>
          </w:tcPr>
          <w:p w:rsidR="001507F4" w:rsidRPr="00FC5541" w:rsidRDefault="001507F4" w:rsidP="00815D05">
            <w:pPr>
              <w:spacing w:after="0" w:line="240" w:lineRule="auto"/>
              <w:rPr>
                <w:rFonts w:ascii="Calibri" w:hAnsi="Calibri"/>
                <w:sz w:val="18"/>
                <w:szCs w:val="18"/>
                <w:lang w:val="es-CO"/>
              </w:rPr>
            </w:pPr>
          </w:p>
        </w:tc>
      </w:tr>
      <w:tr w:rsidR="001507F4" w:rsidRPr="00D87064" w:rsidTr="008D1448">
        <w:trPr>
          <w:trHeight w:val="196"/>
        </w:trPr>
        <w:tc>
          <w:tcPr>
            <w:tcW w:w="1622" w:type="pct"/>
            <w:vMerge/>
            <w:vAlign w:val="center"/>
          </w:tcPr>
          <w:p w:rsidR="001507F4" w:rsidRPr="00FC5541" w:rsidRDefault="001507F4" w:rsidP="00815D05">
            <w:pPr>
              <w:spacing w:after="0" w:line="240" w:lineRule="auto"/>
              <w:jc w:val="both"/>
              <w:rPr>
                <w:rFonts w:ascii="Calibri" w:hAnsi="Calibri"/>
                <w:b/>
                <w:sz w:val="18"/>
                <w:szCs w:val="18"/>
                <w:lang w:val="es-CO"/>
              </w:rPr>
            </w:pPr>
          </w:p>
        </w:tc>
        <w:tc>
          <w:tcPr>
            <w:tcW w:w="1113" w:type="pct"/>
            <w:vAlign w:val="center"/>
          </w:tcPr>
          <w:p w:rsidR="001507F4" w:rsidRPr="00FC5541" w:rsidRDefault="001507F4" w:rsidP="00815D05">
            <w:pPr>
              <w:spacing w:after="0" w:line="240" w:lineRule="auto"/>
              <w:rPr>
                <w:rFonts w:ascii="Calibri" w:hAnsi="Calibri"/>
                <w:sz w:val="18"/>
                <w:szCs w:val="18"/>
                <w:lang w:val="es-CO"/>
              </w:rPr>
            </w:pPr>
            <w:r w:rsidRPr="00FC5541">
              <w:rPr>
                <w:rFonts w:ascii="Calibri" w:hAnsi="Calibri"/>
                <w:sz w:val="18"/>
                <w:szCs w:val="18"/>
                <w:lang w:val="es-CO"/>
              </w:rPr>
              <w:t>Gobierno Corporativo</w:t>
            </w:r>
          </w:p>
        </w:tc>
        <w:tc>
          <w:tcPr>
            <w:tcW w:w="2265" w:type="pct"/>
            <w:vMerge/>
          </w:tcPr>
          <w:p w:rsidR="001507F4" w:rsidRPr="00FC5541" w:rsidRDefault="001507F4" w:rsidP="00815D05">
            <w:pPr>
              <w:spacing w:after="0" w:line="240" w:lineRule="auto"/>
              <w:rPr>
                <w:rFonts w:ascii="Calibri" w:hAnsi="Calibri"/>
                <w:sz w:val="18"/>
                <w:szCs w:val="18"/>
                <w:lang w:val="es-CO"/>
              </w:rPr>
            </w:pPr>
          </w:p>
        </w:tc>
      </w:tr>
      <w:tr w:rsidR="00BD2E5C" w:rsidRPr="00D87064" w:rsidTr="008D1448">
        <w:trPr>
          <w:trHeight w:val="196"/>
        </w:trPr>
        <w:tc>
          <w:tcPr>
            <w:tcW w:w="1622" w:type="pct"/>
            <w:vMerge w:val="restart"/>
            <w:vAlign w:val="center"/>
          </w:tcPr>
          <w:p w:rsidR="00BD2E5C" w:rsidRPr="00FC5541" w:rsidRDefault="00BD2E5C"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financiera</w:t>
            </w: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Gestión de pagos</w:t>
            </w:r>
          </w:p>
        </w:tc>
        <w:tc>
          <w:tcPr>
            <w:tcW w:w="2265" w:type="pct"/>
            <w:vMerge w:val="restart"/>
          </w:tcPr>
          <w:p w:rsidR="00BD2E5C" w:rsidRPr="00FC5541" w:rsidRDefault="00BD2E5C" w:rsidP="00BD2E5C">
            <w:pPr>
              <w:spacing w:after="0" w:line="240" w:lineRule="auto"/>
              <w:rPr>
                <w:rFonts w:ascii="Calibri" w:hAnsi="Calibri"/>
                <w:sz w:val="18"/>
                <w:szCs w:val="18"/>
                <w:lang w:val="es-CO"/>
              </w:rPr>
            </w:pPr>
            <w:r w:rsidRPr="00FC5541">
              <w:rPr>
                <w:rFonts w:ascii="Calibri" w:hAnsi="Calibri"/>
                <w:sz w:val="18"/>
                <w:szCs w:val="18"/>
                <w:lang w:val="es-CO"/>
              </w:rPr>
              <w:t>Gestionar, Administrar y controlar eficientemente los recursos a fin de proveer a las diferentes unidades de los recursos necesarios, con el objetivo de lograr las metas institucionales.</w:t>
            </w:r>
          </w:p>
        </w:tc>
      </w:tr>
      <w:tr w:rsidR="00BD2E5C" w:rsidRPr="00D87064" w:rsidTr="008D1448">
        <w:trPr>
          <w:trHeight w:val="196"/>
        </w:trPr>
        <w:tc>
          <w:tcPr>
            <w:tcW w:w="1622" w:type="pct"/>
            <w:vMerge/>
            <w:vAlign w:val="center"/>
          </w:tcPr>
          <w:p w:rsidR="00BD2E5C" w:rsidRPr="00FC5541" w:rsidRDefault="00BD2E5C" w:rsidP="00815D05">
            <w:pPr>
              <w:spacing w:after="0" w:line="240" w:lineRule="auto"/>
              <w:jc w:val="both"/>
              <w:rPr>
                <w:rFonts w:ascii="Calibri" w:hAnsi="Calibri"/>
                <w:b/>
                <w:sz w:val="18"/>
                <w:szCs w:val="18"/>
                <w:lang w:val="es-CO"/>
              </w:rPr>
            </w:pP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Ejecución financiera</w:t>
            </w:r>
          </w:p>
        </w:tc>
        <w:tc>
          <w:tcPr>
            <w:tcW w:w="2265" w:type="pct"/>
            <w:vMerge/>
          </w:tcPr>
          <w:p w:rsidR="00BD2E5C" w:rsidRPr="00FC5541" w:rsidRDefault="00BD2E5C" w:rsidP="00815D05">
            <w:pPr>
              <w:spacing w:after="0" w:line="240" w:lineRule="auto"/>
              <w:rPr>
                <w:rFonts w:ascii="Calibri" w:hAnsi="Calibri"/>
                <w:sz w:val="18"/>
                <w:szCs w:val="18"/>
                <w:lang w:val="es-CO"/>
              </w:rPr>
            </w:pPr>
          </w:p>
        </w:tc>
      </w:tr>
      <w:tr w:rsidR="00BD2E5C" w:rsidRPr="00D87064" w:rsidTr="008D1448">
        <w:trPr>
          <w:trHeight w:val="196"/>
        </w:trPr>
        <w:tc>
          <w:tcPr>
            <w:tcW w:w="1622" w:type="pct"/>
            <w:vMerge/>
            <w:vAlign w:val="center"/>
          </w:tcPr>
          <w:p w:rsidR="00BD2E5C" w:rsidRPr="00FC5541" w:rsidRDefault="00BD2E5C" w:rsidP="00815D05">
            <w:pPr>
              <w:spacing w:after="0" w:line="240" w:lineRule="auto"/>
              <w:jc w:val="both"/>
              <w:rPr>
                <w:rFonts w:ascii="Calibri" w:hAnsi="Calibri"/>
                <w:b/>
                <w:sz w:val="18"/>
                <w:szCs w:val="18"/>
                <w:lang w:val="es-CO"/>
              </w:rPr>
            </w:pP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Gestión presupuestal</w:t>
            </w:r>
          </w:p>
        </w:tc>
        <w:tc>
          <w:tcPr>
            <w:tcW w:w="2265" w:type="pct"/>
            <w:vMerge/>
          </w:tcPr>
          <w:p w:rsidR="00BD2E5C" w:rsidRPr="00FC5541" w:rsidRDefault="00BD2E5C" w:rsidP="00815D05">
            <w:pPr>
              <w:spacing w:after="0" w:line="240" w:lineRule="auto"/>
              <w:rPr>
                <w:rFonts w:ascii="Calibri" w:hAnsi="Calibri"/>
                <w:sz w:val="18"/>
                <w:szCs w:val="18"/>
                <w:lang w:val="es-CO"/>
              </w:rPr>
            </w:pPr>
          </w:p>
        </w:tc>
      </w:tr>
      <w:tr w:rsidR="00BD2E5C" w:rsidRPr="00D87064" w:rsidTr="00BD2E5C">
        <w:trPr>
          <w:trHeight w:val="453"/>
        </w:trPr>
        <w:tc>
          <w:tcPr>
            <w:tcW w:w="1622" w:type="pct"/>
            <w:vMerge w:val="restart"/>
            <w:vAlign w:val="center"/>
          </w:tcPr>
          <w:p w:rsidR="00BD2E5C" w:rsidRPr="00FC5541" w:rsidRDefault="00BD2E5C" w:rsidP="00815D05">
            <w:pPr>
              <w:spacing w:after="0" w:line="240" w:lineRule="auto"/>
              <w:jc w:val="both"/>
              <w:rPr>
                <w:rFonts w:ascii="Calibri" w:hAnsi="Calibri"/>
                <w:b/>
                <w:sz w:val="18"/>
                <w:szCs w:val="18"/>
                <w:lang w:val="es-CO"/>
              </w:rPr>
            </w:pPr>
            <w:r w:rsidRPr="00FC5541">
              <w:rPr>
                <w:rFonts w:ascii="Calibri" w:hAnsi="Calibri"/>
                <w:b/>
                <w:sz w:val="18"/>
                <w:szCs w:val="18"/>
                <w:lang w:val="es-CO"/>
              </w:rPr>
              <w:t>Facturación y gestión de cartera</w:t>
            </w: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Facturación</w:t>
            </w:r>
          </w:p>
        </w:tc>
        <w:tc>
          <w:tcPr>
            <w:tcW w:w="2265" w:type="pct"/>
            <w:vMerge w:val="restart"/>
          </w:tcPr>
          <w:p w:rsidR="00BD2E5C" w:rsidRPr="00FC5541" w:rsidRDefault="00BD2E5C" w:rsidP="00BD2E5C">
            <w:pPr>
              <w:spacing w:after="0" w:line="240" w:lineRule="auto"/>
              <w:jc w:val="both"/>
              <w:rPr>
                <w:rFonts w:ascii="Calibri" w:hAnsi="Calibri"/>
                <w:sz w:val="18"/>
                <w:szCs w:val="18"/>
                <w:lang w:val="es-CO"/>
              </w:rPr>
            </w:pPr>
            <w:r w:rsidRPr="00FC5541">
              <w:rPr>
                <w:rFonts w:ascii="Calibri" w:hAnsi="Calibri"/>
                <w:sz w:val="18"/>
                <w:szCs w:val="18"/>
                <w:lang w:val="es-ES"/>
              </w:rPr>
              <w:t xml:space="preserve">Asegurar, a través de un proceso transversal, las actividades de Facturación y Gestión de cartera. Así mismo, establecer los mecanismos de seguimiento y control para asegurar los ingresos de la Entidad. </w:t>
            </w:r>
          </w:p>
        </w:tc>
      </w:tr>
      <w:tr w:rsidR="00BD2E5C" w:rsidRPr="00D87064" w:rsidTr="008D1448">
        <w:trPr>
          <w:trHeight w:val="196"/>
        </w:trPr>
        <w:tc>
          <w:tcPr>
            <w:tcW w:w="1622" w:type="pct"/>
            <w:vMerge/>
          </w:tcPr>
          <w:p w:rsidR="00BD2E5C" w:rsidRPr="00FC5541" w:rsidRDefault="00BD2E5C" w:rsidP="00815D05">
            <w:pPr>
              <w:spacing w:after="0" w:line="240" w:lineRule="auto"/>
              <w:jc w:val="both"/>
              <w:rPr>
                <w:rFonts w:ascii="Calibri" w:hAnsi="Calibri"/>
                <w:b/>
                <w:sz w:val="18"/>
                <w:szCs w:val="18"/>
                <w:lang w:val="es-CO"/>
              </w:rPr>
            </w:pP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Gestión de cartera</w:t>
            </w:r>
          </w:p>
        </w:tc>
        <w:tc>
          <w:tcPr>
            <w:tcW w:w="2265" w:type="pct"/>
            <w:vMerge/>
          </w:tcPr>
          <w:p w:rsidR="00BD2E5C" w:rsidRPr="00FC5541" w:rsidRDefault="00BD2E5C" w:rsidP="00815D05">
            <w:pPr>
              <w:spacing w:after="0" w:line="240" w:lineRule="auto"/>
              <w:rPr>
                <w:rFonts w:ascii="Calibri" w:hAnsi="Calibri"/>
                <w:sz w:val="18"/>
                <w:szCs w:val="18"/>
                <w:lang w:val="es-CO"/>
              </w:rPr>
            </w:pPr>
          </w:p>
        </w:tc>
      </w:tr>
      <w:tr w:rsidR="00BD2E5C" w:rsidRPr="00D87064" w:rsidTr="00ED5782">
        <w:trPr>
          <w:trHeight w:val="607"/>
        </w:trPr>
        <w:tc>
          <w:tcPr>
            <w:tcW w:w="1622" w:type="pct"/>
            <w:vMerge w:val="restart"/>
          </w:tcPr>
          <w:p w:rsidR="00BD2E5C" w:rsidRPr="00FC5541" w:rsidRDefault="00BD2E5C"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de proveedores</w:t>
            </w: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Contratación</w:t>
            </w:r>
          </w:p>
        </w:tc>
        <w:tc>
          <w:tcPr>
            <w:tcW w:w="2265" w:type="pct"/>
            <w:vMerge w:val="restart"/>
          </w:tcPr>
          <w:p w:rsidR="00BD2E5C" w:rsidRPr="00FC5541" w:rsidRDefault="00ED5782" w:rsidP="00ED5782">
            <w:pPr>
              <w:spacing w:after="0" w:line="240" w:lineRule="auto"/>
              <w:jc w:val="both"/>
              <w:rPr>
                <w:rFonts w:ascii="Calibri" w:hAnsi="Calibri"/>
                <w:sz w:val="18"/>
                <w:szCs w:val="18"/>
                <w:lang w:val="es-CO"/>
              </w:rPr>
            </w:pPr>
            <w:r w:rsidRPr="00FC5541">
              <w:rPr>
                <w:rFonts w:ascii="Calibri" w:hAnsi="Calibri"/>
                <w:sz w:val="18"/>
                <w:szCs w:val="18"/>
                <w:lang w:val="es-ES"/>
              </w:rPr>
              <w:t xml:space="preserve">Adelantar y regular las acciones requeridas para la interacción entre RTCV, sus proveedores y/o asociados, garantizando la mejor selección de los mismos de manera que se tomen las mejores decisiones frente al suministro requerido por RTVC. Así garantiza que las condiciones contratadas sean cumplidas, </w:t>
            </w:r>
            <w:r w:rsidRPr="00FC5541">
              <w:rPr>
                <w:rFonts w:ascii="Calibri" w:hAnsi="Calibri"/>
                <w:sz w:val="18"/>
                <w:szCs w:val="18"/>
                <w:lang w:val="es-ES"/>
              </w:rPr>
              <w:lastRenderedPageBreak/>
              <w:t>gestionando cualquier mediación que sea necesaria, así como los la verificación de los flujos financieros con el proveedor.</w:t>
            </w:r>
          </w:p>
        </w:tc>
      </w:tr>
      <w:tr w:rsidR="00BD2E5C" w:rsidRPr="00D87064" w:rsidTr="00ED5782">
        <w:trPr>
          <w:trHeight w:val="417"/>
        </w:trPr>
        <w:tc>
          <w:tcPr>
            <w:tcW w:w="1622" w:type="pct"/>
            <w:vMerge/>
          </w:tcPr>
          <w:p w:rsidR="00BD2E5C" w:rsidRPr="00FC5541" w:rsidRDefault="00BD2E5C" w:rsidP="00815D05">
            <w:pPr>
              <w:spacing w:after="0" w:line="240" w:lineRule="auto"/>
              <w:jc w:val="both"/>
              <w:rPr>
                <w:rFonts w:ascii="Calibri" w:hAnsi="Calibri"/>
                <w:b/>
                <w:sz w:val="18"/>
                <w:szCs w:val="18"/>
                <w:lang w:val="es-CO"/>
              </w:rPr>
            </w:pP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Ejecución contractual</w:t>
            </w:r>
          </w:p>
        </w:tc>
        <w:tc>
          <w:tcPr>
            <w:tcW w:w="2265" w:type="pct"/>
            <w:vMerge/>
          </w:tcPr>
          <w:p w:rsidR="00BD2E5C" w:rsidRPr="00FC5541" w:rsidRDefault="00BD2E5C" w:rsidP="00815D05">
            <w:pPr>
              <w:spacing w:after="0" w:line="240" w:lineRule="auto"/>
              <w:rPr>
                <w:rFonts w:ascii="Calibri" w:hAnsi="Calibri"/>
                <w:sz w:val="18"/>
                <w:szCs w:val="18"/>
                <w:lang w:val="es-CO"/>
              </w:rPr>
            </w:pPr>
          </w:p>
        </w:tc>
      </w:tr>
      <w:tr w:rsidR="00BD2E5C" w:rsidRPr="00D87064" w:rsidTr="008D1448">
        <w:trPr>
          <w:trHeight w:val="196"/>
        </w:trPr>
        <w:tc>
          <w:tcPr>
            <w:tcW w:w="1622" w:type="pct"/>
            <w:vMerge/>
          </w:tcPr>
          <w:p w:rsidR="00BD2E5C" w:rsidRPr="00FC5541" w:rsidRDefault="00BD2E5C" w:rsidP="00815D05">
            <w:pPr>
              <w:spacing w:after="0" w:line="240" w:lineRule="auto"/>
              <w:jc w:val="both"/>
              <w:rPr>
                <w:rFonts w:ascii="Calibri" w:hAnsi="Calibri"/>
                <w:b/>
                <w:sz w:val="18"/>
                <w:szCs w:val="18"/>
                <w:lang w:val="es-CO"/>
              </w:rPr>
            </w:pPr>
          </w:p>
        </w:tc>
        <w:tc>
          <w:tcPr>
            <w:tcW w:w="1113" w:type="pct"/>
            <w:vAlign w:val="center"/>
          </w:tcPr>
          <w:p w:rsidR="00BD2E5C" w:rsidRPr="00FC5541" w:rsidRDefault="00BD2E5C" w:rsidP="00815D05">
            <w:pPr>
              <w:spacing w:after="0" w:line="240" w:lineRule="auto"/>
              <w:rPr>
                <w:rFonts w:ascii="Calibri" w:hAnsi="Calibri"/>
                <w:sz w:val="18"/>
                <w:szCs w:val="18"/>
                <w:lang w:val="es-CO"/>
              </w:rPr>
            </w:pPr>
            <w:r w:rsidRPr="00FC5541">
              <w:rPr>
                <w:rFonts w:ascii="Calibri" w:hAnsi="Calibri"/>
                <w:sz w:val="18"/>
                <w:szCs w:val="18"/>
                <w:lang w:val="es-CO"/>
              </w:rPr>
              <w:t xml:space="preserve">Plan de adquisición </w:t>
            </w:r>
          </w:p>
        </w:tc>
        <w:tc>
          <w:tcPr>
            <w:tcW w:w="2265" w:type="pct"/>
            <w:vMerge/>
          </w:tcPr>
          <w:p w:rsidR="00BD2E5C" w:rsidRPr="00FC5541" w:rsidRDefault="00BD2E5C" w:rsidP="00815D05">
            <w:pPr>
              <w:spacing w:after="0" w:line="240" w:lineRule="auto"/>
              <w:rPr>
                <w:rFonts w:ascii="Calibri" w:hAnsi="Calibri"/>
                <w:sz w:val="18"/>
                <w:szCs w:val="18"/>
                <w:lang w:val="es-CO"/>
              </w:rPr>
            </w:pPr>
          </w:p>
        </w:tc>
      </w:tr>
      <w:tr w:rsidR="00DB0216" w:rsidRPr="00D87064" w:rsidTr="008D1448">
        <w:trPr>
          <w:trHeight w:val="196"/>
        </w:trPr>
        <w:tc>
          <w:tcPr>
            <w:tcW w:w="1622" w:type="pct"/>
            <w:vMerge w:val="restart"/>
          </w:tcPr>
          <w:p w:rsidR="00DB0216" w:rsidRPr="00FC5541" w:rsidRDefault="00DB0216" w:rsidP="00815D05">
            <w:pPr>
              <w:spacing w:after="0" w:line="240" w:lineRule="auto"/>
              <w:jc w:val="both"/>
              <w:rPr>
                <w:rFonts w:ascii="Calibri" w:hAnsi="Calibri"/>
                <w:b/>
                <w:sz w:val="18"/>
                <w:szCs w:val="18"/>
                <w:lang w:val="es-CO"/>
              </w:rPr>
            </w:pPr>
            <w:r w:rsidRPr="00FC5541">
              <w:rPr>
                <w:rFonts w:ascii="Calibri" w:hAnsi="Calibri"/>
                <w:b/>
                <w:sz w:val="18"/>
                <w:szCs w:val="18"/>
                <w:lang w:val="es-CO"/>
              </w:rPr>
              <w:lastRenderedPageBreak/>
              <w:t>Gestión Talento Humano</w:t>
            </w:r>
          </w:p>
        </w:tc>
        <w:tc>
          <w:tcPr>
            <w:tcW w:w="1113" w:type="pct"/>
            <w:vAlign w:val="center"/>
          </w:tcPr>
          <w:p w:rsidR="00DB0216" w:rsidRPr="00FC5541" w:rsidRDefault="00DB0216" w:rsidP="00815D05">
            <w:pPr>
              <w:spacing w:after="0" w:line="240" w:lineRule="auto"/>
              <w:rPr>
                <w:rFonts w:ascii="Calibri" w:hAnsi="Calibri"/>
                <w:sz w:val="18"/>
                <w:szCs w:val="18"/>
                <w:lang w:val="es-CO"/>
              </w:rPr>
            </w:pPr>
            <w:r w:rsidRPr="00FC5541">
              <w:rPr>
                <w:rFonts w:ascii="Calibri" w:hAnsi="Calibri"/>
                <w:sz w:val="18"/>
                <w:szCs w:val="18"/>
                <w:lang w:val="es-CO"/>
              </w:rPr>
              <w:t>Selección y contratación del personal</w:t>
            </w:r>
          </w:p>
        </w:tc>
        <w:tc>
          <w:tcPr>
            <w:tcW w:w="2265" w:type="pct"/>
            <w:vMerge w:val="restart"/>
          </w:tcPr>
          <w:p w:rsidR="00DB0216" w:rsidRPr="00FC5541" w:rsidRDefault="00DB0216" w:rsidP="00DB0216">
            <w:pPr>
              <w:spacing w:after="0" w:line="240" w:lineRule="auto"/>
              <w:jc w:val="both"/>
              <w:rPr>
                <w:rFonts w:ascii="Calibri" w:hAnsi="Calibri"/>
                <w:sz w:val="18"/>
                <w:szCs w:val="18"/>
                <w:lang w:val="es-CO"/>
              </w:rPr>
            </w:pPr>
            <w:r w:rsidRPr="00FC5541">
              <w:rPr>
                <w:rFonts w:ascii="Calibri" w:hAnsi="Calibri"/>
                <w:sz w:val="18"/>
                <w:szCs w:val="18"/>
                <w:lang w:val="es-ES"/>
              </w:rPr>
              <w:t>Estructurar los lineamientos y desarrollar las actividades tendientes a garantizar la adecuada gestión del talento humano, incluyendo los procesos y estrategias de selección, formación, remuneración, evaluación de desempeño y desvinculación de los funcionarios de RTVC, manteniendo un clima organizacional adecuado en cumplimiento de los requisitos de ley.</w:t>
            </w:r>
          </w:p>
        </w:tc>
      </w:tr>
      <w:tr w:rsidR="00DB0216" w:rsidRPr="00D87064" w:rsidTr="008D1448">
        <w:trPr>
          <w:trHeight w:val="196"/>
        </w:trPr>
        <w:tc>
          <w:tcPr>
            <w:tcW w:w="1622" w:type="pct"/>
            <w:vMerge/>
          </w:tcPr>
          <w:p w:rsidR="00DB0216" w:rsidRPr="00FC5541" w:rsidRDefault="00DB0216" w:rsidP="00815D05">
            <w:pPr>
              <w:spacing w:after="0" w:line="240" w:lineRule="auto"/>
              <w:jc w:val="both"/>
              <w:rPr>
                <w:rFonts w:ascii="Calibri" w:hAnsi="Calibri"/>
                <w:b/>
                <w:sz w:val="18"/>
                <w:szCs w:val="18"/>
                <w:lang w:val="es-CO"/>
              </w:rPr>
            </w:pPr>
          </w:p>
        </w:tc>
        <w:tc>
          <w:tcPr>
            <w:tcW w:w="1113" w:type="pct"/>
            <w:vAlign w:val="center"/>
          </w:tcPr>
          <w:p w:rsidR="00DB0216" w:rsidRPr="00FC5541" w:rsidRDefault="00DB0216" w:rsidP="00815D05">
            <w:pPr>
              <w:spacing w:after="0" w:line="240" w:lineRule="auto"/>
              <w:rPr>
                <w:rFonts w:ascii="Calibri" w:hAnsi="Calibri"/>
                <w:sz w:val="18"/>
                <w:szCs w:val="18"/>
                <w:lang w:val="es-CO"/>
              </w:rPr>
            </w:pPr>
            <w:r w:rsidRPr="00FC5541">
              <w:rPr>
                <w:rFonts w:ascii="Calibri" w:hAnsi="Calibri"/>
                <w:sz w:val="18"/>
                <w:szCs w:val="18"/>
                <w:lang w:val="es-CO"/>
              </w:rPr>
              <w:t>Desarrollo y formación del personal</w:t>
            </w:r>
          </w:p>
        </w:tc>
        <w:tc>
          <w:tcPr>
            <w:tcW w:w="2265" w:type="pct"/>
            <w:vMerge/>
          </w:tcPr>
          <w:p w:rsidR="00DB0216" w:rsidRPr="00FC5541" w:rsidRDefault="00DB0216" w:rsidP="00815D05">
            <w:pPr>
              <w:spacing w:after="0" w:line="240" w:lineRule="auto"/>
              <w:rPr>
                <w:rFonts w:ascii="Calibri" w:hAnsi="Calibri"/>
                <w:sz w:val="18"/>
                <w:szCs w:val="18"/>
                <w:lang w:val="es-CO"/>
              </w:rPr>
            </w:pPr>
          </w:p>
        </w:tc>
      </w:tr>
      <w:tr w:rsidR="00DB0216" w:rsidRPr="00D87064" w:rsidTr="008D1448">
        <w:trPr>
          <w:trHeight w:val="196"/>
        </w:trPr>
        <w:tc>
          <w:tcPr>
            <w:tcW w:w="1622" w:type="pct"/>
            <w:vMerge/>
          </w:tcPr>
          <w:p w:rsidR="00DB0216" w:rsidRPr="00FC5541" w:rsidRDefault="00DB0216" w:rsidP="00815D05">
            <w:pPr>
              <w:spacing w:after="0" w:line="240" w:lineRule="auto"/>
              <w:jc w:val="both"/>
              <w:rPr>
                <w:rFonts w:ascii="Calibri" w:hAnsi="Calibri"/>
                <w:b/>
                <w:sz w:val="18"/>
                <w:szCs w:val="18"/>
                <w:lang w:val="es-CO"/>
              </w:rPr>
            </w:pPr>
          </w:p>
        </w:tc>
        <w:tc>
          <w:tcPr>
            <w:tcW w:w="1113" w:type="pct"/>
            <w:vAlign w:val="center"/>
          </w:tcPr>
          <w:p w:rsidR="00DB0216" w:rsidRPr="00FC5541" w:rsidRDefault="00DB0216" w:rsidP="00815D05">
            <w:pPr>
              <w:spacing w:after="0" w:line="240" w:lineRule="auto"/>
              <w:rPr>
                <w:rFonts w:ascii="Calibri" w:hAnsi="Calibri"/>
                <w:sz w:val="18"/>
                <w:szCs w:val="18"/>
                <w:lang w:val="es-CO"/>
              </w:rPr>
            </w:pPr>
            <w:r w:rsidRPr="00FC5541">
              <w:rPr>
                <w:rFonts w:ascii="Calibri" w:hAnsi="Calibri"/>
                <w:sz w:val="18"/>
                <w:szCs w:val="18"/>
                <w:lang w:val="es-CO"/>
              </w:rPr>
              <w:t>Liquidación de nomina</w:t>
            </w:r>
          </w:p>
        </w:tc>
        <w:tc>
          <w:tcPr>
            <w:tcW w:w="2265" w:type="pct"/>
            <w:vMerge/>
          </w:tcPr>
          <w:p w:rsidR="00DB0216" w:rsidRPr="00FC5541" w:rsidRDefault="00DB0216" w:rsidP="00815D05">
            <w:pPr>
              <w:spacing w:after="0" w:line="240" w:lineRule="auto"/>
              <w:rPr>
                <w:rFonts w:ascii="Calibri" w:hAnsi="Calibri"/>
                <w:sz w:val="18"/>
                <w:szCs w:val="18"/>
                <w:lang w:val="es-CO"/>
              </w:rPr>
            </w:pPr>
          </w:p>
        </w:tc>
      </w:tr>
      <w:tr w:rsidR="00DB0216" w:rsidRPr="00D87064" w:rsidTr="008D1448">
        <w:trPr>
          <w:trHeight w:val="196"/>
        </w:trPr>
        <w:tc>
          <w:tcPr>
            <w:tcW w:w="1622" w:type="pct"/>
            <w:vMerge/>
          </w:tcPr>
          <w:p w:rsidR="00DB0216" w:rsidRPr="00FC5541" w:rsidRDefault="00DB0216" w:rsidP="00815D05">
            <w:pPr>
              <w:spacing w:after="0" w:line="240" w:lineRule="auto"/>
              <w:jc w:val="both"/>
              <w:rPr>
                <w:rFonts w:ascii="Calibri" w:hAnsi="Calibri"/>
                <w:b/>
                <w:sz w:val="18"/>
                <w:szCs w:val="18"/>
                <w:lang w:val="es-CO"/>
              </w:rPr>
            </w:pPr>
          </w:p>
        </w:tc>
        <w:tc>
          <w:tcPr>
            <w:tcW w:w="1113" w:type="pct"/>
            <w:vAlign w:val="center"/>
          </w:tcPr>
          <w:p w:rsidR="00DB0216" w:rsidRPr="00FC5541" w:rsidRDefault="00DB0216" w:rsidP="00815D05">
            <w:pPr>
              <w:spacing w:after="0" w:line="240" w:lineRule="auto"/>
              <w:rPr>
                <w:rFonts w:ascii="Calibri" w:hAnsi="Calibri"/>
                <w:sz w:val="18"/>
                <w:szCs w:val="18"/>
                <w:lang w:val="es-CO"/>
              </w:rPr>
            </w:pPr>
            <w:r w:rsidRPr="00FC5541">
              <w:rPr>
                <w:rFonts w:ascii="Calibri" w:hAnsi="Calibri"/>
                <w:sz w:val="18"/>
                <w:szCs w:val="18"/>
                <w:lang w:val="es-CO"/>
              </w:rPr>
              <w:t>Administración de cargos</w:t>
            </w:r>
          </w:p>
        </w:tc>
        <w:tc>
          <w:tcPr>
            <w:tcW w:w="2265" w:type="pct"/>
            <w:vMerge/>
          </w:tcPr>
          <w:p w:rsidR="00DB0216" w:rsidRPr="00FC5541" w:rsidRDefault="00DB0216" w:rsidP="00815D05">
            <w:pPr>
              <w:spacing w:after="0" w:line="240" w:lineRule="auto"/>
              <w:rPr>
                <w:rFonts w:ascii="Calibri" w:hAnsi="Calibri"/>
                <w:sz w:val="18"/>
                <w:szCs w:val="18"/>
                <w:lang w:val="es-CO"/>
              </w:rPr>
            </w:pPr>
          </w:p>
        </w:tc>
      </w:tr>
      <w:tr w:rsidR="00DB0216" w:rsidRPr="00D87064" w:rsidTr="008D1448">
        <w:trPr>
          <w:trHeight w:val="196"/>
        </w:trPr>
        <w:tc>
          <w:tcPr>
            <w:tcW w:w="1622" w:type="pct"/>
            <w:vMerge/>
          </w:tcPr>
          <w:p w:rsidR="00DB0216" w:rsidRPr="00FC5541" w:rsidRDefault="00DB0216" w:rsidP="00815D05">
            <w:pPr>
              <w:spacing w:after="0" w:line="240" w:lineRule="auto"/>
              <w:jc w:val="both"/>
              <w:rPr>
                <w:rFonts w:ascii="Calibri" w:hAnsi="Calibri"/>
                <w:b/>
                <w:sz w:val="18"/>
                <w:szCs w:val="18"/>
                <w:lang w:val="es-CO"/>
              </w:rPr>
            </w:pPr>
          </w:p>
        </w:tc>
        <w:tc>
          <w:tcPr>
            <w:tcW w:w="1113" w:type="pct"/>
            <w:vAlign w:val="center"/>
          </w:tcPr>
          <w:p w:rsidR="00DB0216" w:rsidRPr="00FC5541" w:rsidRDefault="00DB0216" w:rsidP="00815D05">
            <w:pPr>
              <w:spacing w:after="0" w:line="240" w:lineRule="auto"/>
              <w:rPr>
                <w:rFonts w:ascii="Calibri" w:hAnsi="Calibri"/>
                <w:sz w:val="18"/>
                <w:szCs w:val="18"/>
                <w:lang w:val="es-CO"/>
              </w:rPr>
            </w:pPr>
            <w:r w:rsidRPr="00FC5541">
              <w:rPr>
                <w:rFonts w:ascii="Calibri" w:hAnsi="Calibri"/>
                <w:sz w:val="18"/>
                <w:szCs w:val="18"/>
                <w:lang w:val="es-CO"/>
              </w:rPr>
              <w:t>Desvinculación</w:t>
            </w:r>
          </w:p>
        </w:tc>
        <w:tc>
          <w:tcPr>
            <w:tcW w:w="2265" w:type="pct"/>
            <w:vMerge/>
          </w:tcPr>
          <w:p w:rsidR="00DB0216" w:rsidRPr="00FC5541" w:rsidRDefault="00DB0216"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val="restart"/>
          </w:tcPr>
          <w:p w:rsidR="008F57B5" w:rsidRPr="00FC5541" w:rsidRDefault="008F57B5"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jurídica</w:t>
            </w: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Asesoría jurídica</w:t>
            </w:r>
          </w:p>
        </w:tc>
        <w:tc>
          <w:tcPr>
            <w:tcW w:w="2265" w:type="pct"/>
            <w:vMerge w:val="restart"/>
          </w:tcPr>
          <w:p w:rsidR="008F57B5" w:rsidRPr="00FC5541" w:rsidRDefault="008F57B5" w:rsidP="008F57B5">
            <w:pPr>
              <w:spacing w:after="0" w:line="240" w:lineRule="auto"/>
              <w:jc w:val="both"/>
              <w:rPr>
                <w:rFonts w:ascii="Calibri" w:hAnsi="Calibri"/>
                <w:sz w:val="18"/>
                <w:szCs w:val="18"/>
                <w:lang w:val="es-CO"/>
              </w:rPr>
            </w:pPr>
            <w:r w:rsidRPr="00FC5541">
              <w:rPr>
                <w:rFonts w:ascii="Calibri" w:hAnsi="Calibri"/>
                <w:sz w:val="18"/>
                <w:szCs w:val="18"/>
                <w:lang w:val="es-ES"/>
              </w:rPr>
              <w:t>Adelantar y regular las acciones requeridas para la interacción entre RTCV, sus proveedores y/o asociados, garantizando la mejor selección de los mismos de manera que se tomen las mejores decisiones frente al suministro requerido por RTVC. Así garantiza que las condiciones contratadas sean cumplidas, gestionando cualquier mediación que sea necesaria, así como la verificación de los flujos financieros con el proveedor.</w:t>
            </w: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Cobro coactivo</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Representación judicial</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val="restart"/>
          </w:tcPr>
          <w:p w:rsidR="008F57B5" w:rsidRPr="00FC5541" w:rsidRDefault="008F57B5" w:rsidP="00815D05">
            <w:pPr>
              <w:spacing w:after="0" w:line="240" w:lineRule="auto"/>
              <w:jc w:val="both"/>
              <w:rPr>
                <w:rFonts w:ascii="Calibri" w:hAnsi="Calibri"/>
                <w:b/>
                <w:sz w:val="18"/>
                <w:szCs w:val="18"/>
                <w:lang w:val="es-CO"/>
              </w:rPr>
            </w:pPr>
            <w:r w:rsidRPr="00FC5541">
              <w:rPr>
                <w:rFonts w:ascii="Calibri" w:hAnsi="Calibri"/>
                <w:b/>
                <w:sz w:val="18"/>
                <w:szCs w:val="18"/>
                <w:lang w:val="es-CO"/>
              </w:rPr>
              <w:t>Soporte cliente interno</w:t>
            </w: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Gestión de bienes</w:t>
            </w:r>
          </w:p>
        </w:tc>
        <w:tc>
          <w:tcPr>
            <w:tcW w:w="2265" w:type="pct"/>
            <w:vMerge w:val="restart"/>
          </w:tcPr>
          <w:p w:rsidR="008F57B5" w:rsidRPr="00FC5541" w:rsidRDefault="008F57B5" w:rsidP="008F57B5">
            <w:pPr>
              <w:spacing w:after="0" w:line="240" w:lineRule="auto"/>
              <w:rPr>
                <w:rFonts w:ascii="Calibri" w:hAnsi="Calibri"/>
                <w:sz w:val="18"/>
                <w:szCs w:val="18"/>
                <w:lang w:val="es-CO"/>
              </w:rPr>
            </w:pPr>
            <w:r w:rsidRPr="00FC5541">
              <w:rPr>
                <w:rFonts w:ascii="Calibri" w:hAnsi="Calibri"/>
                <w:sz w:val="18"/>
                <w:szCs w:val="18"/>
                <w:lang w:val="es-CO"/>
              </w:rPr>
              <w:t>Planear, gestionar y administrar la infraestructura física, tecnológica, documental y ambiental, asegurando el cubrimiento de las necesidades requeridas por el usuario interno tanto presentes como futuras para el desarrollo de los procesos de RTVC.</w:t>
            </w: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Reposición de bienes</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Mesa de servicio interno</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Gestión de incidentes</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Mantenimiento preventivo</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D1448" w:rsidRPr="00D87064" w:rsidTr="008D1448">
        <w:trPr>
          <w:trHeight w:val="196"/>
        </w:trPr>
        <w:tc>
          <w:tcPr>
            <w:tcW w:w="1622" w:type="pct"/>
          </w:tcPr>
          <w:p w:rsidR="008D1448" w:rsidRPr="00FC5541" w:rsidRDefault="008D1448" w:rsidP="00815D05">
            <w:pPr>
              <w:spacing w:after="0" w:line="240" w:lineRule="auto"/>
              <w:jc w:val="both"/>
              <w:rPr>
                <w:rFonts w:ascii="Calibri" w:hAnsi="Calibri"/>
                <w:b/>
                <w:sz w:val="18"/>
                <w:szCs w:val="18"/>
                <w:lang w:val="es-CO"/>
              </w:rPr>
            </w:pPr>
            <w:r w:rsidRPr="00FC5541">
              <w:rPr>
                <w:rFonts w:ascii="Calibri" w:hAnsi="Calibri"/>
                <w:b/>
                <w:sz w:val="18"/>
                <w:szCs w:val="18"/>
                <w:lang w:val="es-CO"/>
              </w:rPr>
              <w:t>Control interno</w:t>
            </w:r>
          </w:p>
        </w:tc>
        <w:tc>
          <w:tcPr>
            <w:tcW w:w="1113" w:type="pct"/>
            <w:vAlign w:val="center"/>
          </w:tcPr>
          <w:p w:rsidR="008D1448" w:rsidRPr="00FC5541" w:rsidRDefault="008D1448" w:rsidP="00815D05">
            <w:pPr>
              <w:spacing w:after="0" w:line="240" w:lineRule="auto"/>
              <w:rPr>
                <w:rFonts w:ascii="Calibri" w:hAnsi="Calibri"/>
                <w:sz w:val="18"/>
                <w:szCs w:val="18"/>
                <w:lang w:val="es-CO"/>
              </w:rPr>
            </w:pPr>
            <w:r w:rsidRPr="00FC5541">
              <w:rPr>
                <w:rFonts w:ascii="Calibri" w:hAnsi="Calibri"/>
                <w:sz w:val="18"/>
                <w:szCs w:val="18"/>
                <w:lang w:val="es-CO"/>
              </w:rPr>
              <w:t>Auditoria interna</w:t>
            </w:r>
          </w:p>
        </w:tc>
        <w:tc>
          <w:tcPr>
            <w:tcW w:w="2265" w:type="pct"/>
          </w:tcPr>
          <w:p w:rsidR="008D1448" w:rsidRPr="00FC5541" w:rsidRDefault="008F57B5" w:rsidP="008F57B5">
            <w:pPr>
              <w:spacing w:after="0" w:line="240" w:lineRule="auto"/>
              <w:jc w:val="both"/>
              <w:rPr>
                <w:rFonts w:ascii="Calibri" w:hAnsi="Calibri"/>
                <w:sz w:val="18"/>
                <w:szCs w:val="18"/>
                <w:lang w:val="es-CO"/>
              </w:rPr>
            </w:pPr>
            <w:r w:rsidRPr="00FC5541">
              <w:rPr>
                <w:rFonts w:ascii="Calibri" w:hAnsi="Calibri"/>
                <w:sz w:val="18"/>
                <w:szCs w:val="18"/>
                <w:lang w:val="es-ES"/>
              </w:rPr>
              <w:t>Medir la eficiencia, eficacia y efectividad de los controles, asesorando a la alta dirección en la continuidad del proceso administrativo, evaluación de los planes establecidos para el cumplimiento de las metas y/</w:t>
            </w:r>
            <w:proofErr w:type="spellStart"/>
            <w:r w:rsidRPr="00FC5541">
              <w:rPr>
                <w:rFonts w:ascii="Calibri" w:hAnsi="Calibri"/>
                <w:sz w:val="18"/>
                <w:szCs w:val="18"/>
                <w:lang w:val="es-ES"/>
              </w:rPr>
              <w:t>o</w:t>
            </w:r>
            <w:proofErr w:type="spellEnd"/>
            <w:r w:rsidRPr="00FC5541">
              <w:rPr>
                <w:rFonts w:ascii="Calibri" w:hAnsi="Calibri"/>
                <w:sz w:val="18"/>
                <w:szCs w:val="18"/>
                <w:lang w:val="es-ES"/>
              </w:rPr>
              <w:t xml:space="preserve"> objetivos institucionales.</w:t>
            </w:r>
          </w:p>
        </w:tc>
      </w:tr>
      <w:tr w:rsidR="008D1448" w:rsidRPr="00D87064" w:rsidTr="008D1448">
        <w:trPr>
          <w:trHeight w:val="196"/>
        </w:trPr>
        <w:tc>
          <w:tcPr>
            <w:tcW w:w="1622" w:type="pct"/>
          </w:tcPr>
          <w:p w:rsidR="008D1448" w:rsidRPr="00FC5541" w:rsidRDefault="008D1448" w:rsidP="00815D05">
            <w:pPr>
              <w:spacing w:after="0" w:line="240" w:lineRule="auto"/>
              <w:jc w:val="both"/>
              <w:rPr>
                <w:rFonts w:ascii="Calibri" w:hAnsi="Calibri"/>
                <w:b/>
                <w:sz w:val="18"/>
                <w:szCs w:val="18"/>
                <w:lang w:val="es-CO"/>
              </w:rPr>
            </w:pPr>
            <w:r w:rsidRPr="00FC5541">
              <w:rPr>
                <w:rFonts w:ascii="Calibri" w:hAnsi="Calibri"/>
                <w:b/>
                <w:sz w:val="18"/>
                <w:szCs w:val="18"/>
                <w:lang w:val="es-CO"/>
              </w:rPr>
              <w:t>Control de asuntos disciplinarios</w:t>
            </w:r>
          </w:p>
        </w:tc>
        <w:tc>
          <w:tcPr>
            <w:tcW w:w="1113" w:type="pct"/>
            <w:vAlign w:val="center"/>
          </w:tcPr>
          <w:p w:rsidR="008D1448" w:rsidRPr="00FC5541" w:rsidRDefault="008D1448" w:rsidP="00815D05">
            <w:pPr>
              <w:spacing w:after="0" w:line="240" w:lineRule="auto"/>
              <w:rPr>
                <w:rFonts w:ascii="Calibri" w:hAnsi="Calibri"/>
                <w:sz w:val="18"/>
                <w:szCs w:val="18"/>
                <w:lang w:val="es-CO"/>
              </w:rPr>
            </w:pPr>
            <w:r w:rsidRPr="00FC5541">
              <w:rPr>
                <w:rFonts w:ascii="Calibri" w:hAnsi="Calibri"/>
                <w:sz w:val="18"/>
                <w:szCs w:val="18"/>
                <w:lang w:val="es-CO"/>
              </w:rPr>
              <w:t>Control de asuntos disciplinarios</w:t>
            </w:r>
          </w:p>
        </w:tc>
        <w:tc>
          <w:tcPr>
            <w:tcW w:w="2265" w:type="pct"/>
          </w:tcPr>
          <w:p w:rsidR="008D1448" w:rsidRPr="00FC5541" w:rsidRDefault="008F57B5" w:rsidP="008F57B5">
            <w:pPr>
              <w:spacing w:after="0" w:line="240" w:lineRule="auto"/>
              <w:jc w:val="both"/>
              <w:rPr>
                <w:rFonts w:ascii="Calibri" w:hAnsi="Calibri"/>
                <w:sz w:val="18"/>
                <w:szCs w:val="18"/>
                <w:lang w:val="es-CO"/>
              </w:rPr>
            </w:pPr>
            <w:r w:rsidRPr="00FC5541">
              <w:rPr>
                <w:rFonts w:ascii="Calibri" w:hAnsi="Calibri"/>
                <w:sz w:val="18"/>
                <w:szCs w:val="18"/>
                <w:lang w:val="es-ES"/>
              </w:rPr>
              <w:t>Proteger la función pública al interior de la Empresa, adelantando las actuaciones disciplinarias relacionadas con sus servidores determinando así la posible responsabilidad frente a la ocurrencia de conductas disciplinables.</w:t>
            </w:r>
          </w:p>
        </w:tc>
      </w:tr>
      <w:tr w:rsidR="008D1448" w:rsidRPr="00D87064" w:rsidTr="008D1448">
        <w:trPr>
          <w:trHeight w:val="196"/>
        </w:trPr>
        <w:tc>
          <w:tcPr>
            <w:tcW w:w="1622" w:type="pct"/>
          </w:tcPr>
          <w:p w:rsidR="008D1448" w:rsidRPr="00FC5541" w:rsidRDefault="008D1448" w:rsidP="00815D05">
            <w:pPr>
              <w:spacing w:after="0" w:line="240" w:lineRule="auto"/>
              <w:jc w:val="both"/>
              <w:rPr>
                <w:rFonts w:ascii="Calibri" w:hAnsi="Calibri"/>
                <w:b/>
                <w:sz w:val="18"/>
                <w:szCs w:val="18"/>
                <w:lang w:val="es-CO"/>
              </w:rPr>
            </w:pPr>
            <w:r w:rsidRPr="00FC5541">
              <w:rPr>
                <w:rFonts w:ascii="Calibri" w:hAnsi="Calibri"/>
                <w:b/>
                <w:sz w:val="18"/>
                <w:szCs w:val="18"/>
                <w:lang w:val="es-CO"/>
              </w:rPr>
              <w:t>Gestión documental</w:t>
            </w:r>
          </w:p>
        </w:tc>
        <w:tc>
          <w:tcPr>
            <w:tcW w:w="1113" w:type="pct"/>
            <w:vAlign w:val="center"/>
          </w:tcPr>
          <w:p w:rsidR="008D1448" w:rsidRPr="00FC5541" w:rsidRDefault="008D1448" w:rsidP="00815D05">
            <w:pPr>
              <w:spacing w:after="0" w:line="240" w:lineRule="auto"/>
              <w:rPr>
                <w:rFonts w:ascii="Calibri" w:hAnsi="Calibri"/>
                <w:sz w:val="18"/>
                <w:szCs w:val="18"/>
                <w:lang w:val="es-CO"/>
              </w:rPr>
            </w:pPr>
            <w:r w:rsidRPr="00FC5541">
              <w:rPr>
                <w:rFonts w:ascii="Calibri" w:hAnsi="Calibri"/>
                <w:sz w:val="18"/>
                <w:szCs w:val="18"/>
                <w:lang w:val="es-CO"/>
              </w:rPr>
              <w:t>Recepción y distribución</w:t>
            </w:r>
          </w:p>
        </w:tc>
        <w:tc>
          <w:tcPr>
            <w:tcW w:w="2265" w:type="pct"/>
          </w:tcPr>
          <w:p w:rsidR="008D1448"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Pendiente</w:t>
            </w:r>
          </w:p>
        </w:tc>
      </w:tr>
      <w:tr w:rsidR="008F57B5" w:rsidRPr="00D87064" w:rsidTr="008D1448">
        <w:trPr>
          <w:trHeight w:val="196"/>
        </w:trPr>
        <w:tc>
          <w:tcPr>
            <w:tcW w:w="1622" w:type="pct"/>
            <w:vMerge w:val="restart"/>
          </w:tcPr>
          <w:p w:rsidR="008F57B5" w:rsidRPr="00FC5541" w:rsidRDefault="008F57B5" w:rsidP="00815D05">
            <w:pPr>
              <w:spacing w:after="0" w:line="240" w:lineRule="auto"/>
              <w:jc w:val="both"/>
              <w:rPr>
                <w:rFonts w:ascii="Calibri" w:hAnsi="Calibri"/>
                <w:b/>
                <w:sz w:val="18"/>
                <w:szCs w:val="18"/>
                <w:lang w:val="es-CO"/>
              </w:rPr>
            </w:pPr>
            <w:r w:rsidRPr="00FC5541">
              <w:rPr>
                <w:rFonts w:ascii="Calibri" w:hAnsi="Calibri"/>
                <w:b/>
                <w:sz w:val="18"/>
                <w:szCs w:val="18"/>
                <w:lang w:val="es-CO"/>
              </w:rPr>
              <w:t>Atención cliente ciudadano</w:t>
            </w: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Atención cliente ciudadano</w:t>
            </w:r>
          </w:p>
        </w:tc>
        <w:tc>
          <w:tcPr>
            <w:tcW w:w="2265" w:type="pct"/>
            <w:vMerge w:val="restart"/>
          </w:tcPr>
          <w:p w:rsidR="008F57B5" w:rsidRPr="00FC5541" w:rsidRDefault="008F57B5" w:rsidP="00590F0B">
            <w:pPr>
              <w:spacing w:after="0" w:line="240" w:lineRule="auto"/>
              <w:jc w:val="both"/>
              <w:rPr>
                <w:rFonts w:ascii="Calibri" w:hAnsi="Calibri"/>
                <w:sz w:val="18"/>
                <w:szCs w:val="18"/>
                <w:lang w:val="es-CO"/>
              </w:rPr>
            </w:pPr>
          </w:p>
        </w:tc>
      </w:tr>
      <w:tr w:rsidR="008F57B5" w:rsidRPr="00D87064" w:rsidTr="008D1448">
        <w:trPr>
          <w:trHeight w:val="196"/>
        </w:trPr>
        <w:tc>
          <w:tcPr>
            <w:tcW w:w="1622" w:type="pct"/>
            <w:vMerge/>
          </w:tcPr>
          <w:p w:rsidR="008F57B5" w:rsidRPr="00FC5541" w:rsidRDefault="008F57B5" w:rsidP="00815D05">
            <w:pPr>
              <w:spacing w:after="0" w:line="240" w:lineRule="auto"/>
              <w:jc w:val="both"/>
              <w:rPr>
                <w:rFonts w:ascii="Calibri" w:hAnsi="Calibri"/>
                <w:b/>
                <w:sz w:val="18"/>
                <w:szCs w:val="18"/>
                <w:lang w:val="es-CO"/>
              </w:rPr>
            </w:pPr>
          </w:p>
        </w:tc>
        <w:tc>
          <w:tcPr>
            <w:tcW w:w="1113" w:type="pct"/>
            <w:vAlign w:val="center"/>
          </w:tcPr>
          <w:p w:rsidR="008F57B5" w:rsidRPr="00FC5541" w:rsidRDefault="008F57B5" w:rsidP="00815D05">
            <w:pPr>
              <w:spacing w:after="0" w:line="240" w:lineRule="auto"/>
              <w:rPr>
                <w:rFonts w:ascii="Calibri" w:hAnsi="Calibri"/>
                <w:sz w:val="18"/>
                <w:szCs w:val="18"/>
                <w:lang w:val="es-CO"/>
              </w:rPr>
            </w:pPr>
            <w:r w:rsidRPr="00FC5541">
              <w:rPr>
                <w:rFonts w:ascii="Calibri" w:hAnsi="Calibri"/>
                <w:sz w:val="18"/>
                <w:szCs w:val="18"/>
                <w:lang w:val="es-CO"/>
              </w:rPr>
              <w:t>Proceso de gestión del cliente</w:t>
            </w:r>
          </w:p>
        </w:tc>
        <w:tc>
          <w:tcPr>
            <w:tcW w:w="2265" w:type="pct"/>
            <w:vMerge/>
          </w:tcPr>
          <w:p w:rsidR="008F57B5" w:rsidRPr="00FC5541" w:rsidRDefault="008F57B5" w:rsidP="00815D05">
            <w:pPr>
              <w:spacing w:after="0" w:line="240" w:lineRule="auto"/>
              <w:rPr>
                <w:rFonts w:ascii="Calibri" w:hAnsi="Calibri"/>
                <w:sz w:val="18"/>
                <w:szCs w:val="18"/>
                <w:lang w:val="es-CO"/>
              </w:rPr>
            </w:pPr>
          </w:p>
        </w:tc>
      </w:tr>
      <w:tr w:rsidR="008D1448" w:rsidRPr="00D87064" w:rsidTr="008D1448">
        <w:trPr>
          <w:trHeight w:val="196"/>
        </w:trPr>
        <w:tc>
          <w:tcPr>
            <w:tcW w:w="1622" w:type="pct"/>
          </w:tcPr>
          <w:p w:rsidR="008D1448" w:rsidRPr="00FC5541" w:rsidRDefault="008D1448" w:rsidP="00815D05">
            <w:pPr>
              <w:spacing w:after="0" w:line="240" w:lineRule="auto"/>
              <w:jc w:val="both"/>
              <w:rPr>
                <w:rFonts w:ascii="Calibri" w:hAnsi="Calibri"/>
                <w:b/>
                <w:sz w:val="18"/>
                <w:szCs w:val="18"/>
                <w:lang w:val="es-CO"/>
              </w:rPr>
            </w:pPr>
            <w:r w:rsidRPr="00FC5541">
              <w:rPr>
                <w:rFonts w:ascii="Calibri" w:hAnsi="Calibri"/>
                <w:b/>
                <w:sz w:val="18"/>
                <w:szCs w:val="18"/>
                <w:lang w:val="es-CO"/>
              </w:rPr>
              <w:t>Programación de contenido</w:t>
            </w:r>
          </w:p>
        </w:tc>
        <w:tc>
          <w:tcPr>
            <w:tcW w:w="1113" w:type="pct"/>
            <w:vAlign w:val="center"/>
          </w:tcPr>
          <w:p w:rsidR="008D1448" w:rsidRPr="00FC5541" w:rsidRDefault="008D1448" w:rsidP="00815D05">
            <w:pPr>
              <w:spacing w:after="0" w:line="240" w:lineRule="auto"/>
              <w:rPr>
                <w:rFonts w:ascii="Calibri" w:hAnsi="Calibri"/>
                <w:sz w:val="18"/>
                <w:szCs w:val="18"/>
                <w:lang w:val="es-CO"/>
              </w:rPr>
            </w:pPr>
            <w:r w:rsidRPr="00FC5541">
              <w:rPr>
                <w:rFonts w:ascii="Calibri" w:hAnsi="Calibri"/>
                <w:sz w:val="18"/>
                <w:szCs w:val="18"/>
                <w:lang w:val="es-CO"/>
              </w:rPr>
              <w:t>Programa de contenido</w:t>
            </w:r>
          </w:p>
        </w:tc>
        <w:tc>
          <w:tcPr>
            <w:tcW w:w="2265" w:type="pct"/>
          </w:tcPr>
          <w:p w:rsidR="008D1448" w:rsidRPr="00FC5541" w:rsidRDefault="00D404A3" w:rsidP="00D404A3">
            <w:pPr>
              <w:spacing w:after="0" w:line="240" w:lineRule="auto"/>
              <w:jc w:val="both"/>
              <w:rPr>
                <w:rFonts w:ascii="Calibri" w:hAnsi="Calibri"/>
                <w:sz w:val="18"/>
                <w:szCs w:val="18"/>
                <w:lang w:val="es-CO"/>
              </w:rPr>
            </w:pPr>
            <w:r w:rsidRPr="00FC5541">
              <w:rPr>
                <w:rFonts w:ascii="Calibri" w:hAnsi="Calibri"/>
                <w:sz w:val="18"/>
                <w:szCs w:val="18"/>
                <w:lang w:val="es-ES"/>
              </w:rPr>
              <w:t>Realizar la programación de contenidos culturales, educativos, Institucionales y de información de alta calidad y para todas las formas de consumo.</w:t>
            </w:r>
          </w:p>
        </w:tc>
      </w:tr>
      <w:tr w:rsidR="00D404A3" w:rsidRPr="00FC5541" w:rsidTr="008D1448">
        <w:trPr>
          <w:trHeight w:val="196"/>
        </w:trPr>
        <w:tc>
          <w:tcPr>
            <w:tcW w:w="1622" w:type="pct"/>
            <w:vMerge w:val="restart"/>
          </w:tcPr>
          <w:p w:rsidR="00D404A3" w:rsidRPr="00FC5541" w:rsidRDefault="00D404A3" w:rsidP="00815D05">
            <w:pPr>
              <w:spacing w:after="0" w:line="240" w:lineRule="auto"/>
              <w:jc w:val="both"/>
              <w:rPr>
                <w:rFonts w:ascii="Calibri" w:hAnsi="Calibri"/>
                <w:b/>
                <w:sz w:val="18"/>
                <w:szCs w:val="18"/>
                <w:lang w:val="es-CO"/>
              </w:rPr>
            </w:pPr>
            <w:r w:rsidRPr="00FC5541">
              <w:rPr>
                <w:rFonts w:ascii="Calibri" w:hAnsi="Calibri"/>
                <w:b/>
                <w:sz w:val="18"/>
                <w:szCs w:val="18"/>
                <w:lang w:val="es-CO"/>
              </w:rPr>
              <w:t>Radio</w:t>
            </w: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Comercialización de espacios</w:t>
            </w:r>
          </w:p>
        </w:tc>
        <w:tc>
          <w:tcPr>
            <w:tcW w:w="2265" w:type="pct"/>
            <w:vMerge w:val="restart"/>
          </w:tcPr>
          <w:p w:rsidR="00D404A3" w:rsidRPr="00FC5541" w:rsidRDefault="00D404A3" w:rsidP="00D404A3">
            <w:pPr>
              <w:spacing w:after="0" w:line="240" w:lineRule="auto"/>
              <w:jc w:val="both"/>
              <w:rPr>
                <w:rFonts w:ascii="Calibri" w:hAnsi="Calibri"/>
                <w:sz w:val="18"/>
                <w:szCs w:val="18"/>
                <w:lang w:val="es-CO"/>
              </w:rPr>
            </w:pPr>
            <w:r w:rsidRPr="00FC5541">
              <w:rPr>
                <w:rFonts w:ascii="Calibri" w:hAnsi="Calibri"/>
                <w:sz w:val="18"/>
                <w:szCs w:val="18"/>
                <w:lang w:val="es-ES"/>
              </w:rPr>
              <w:t xml:space="preserve">Producir contenidos de radio </w:t>
            </w:r>
            <w:r w:rsidRPr="00FC5541">
              <w:rPr>
                <w:rFonts w:ascii="Calibri" w:hAnsi="Calibri"/>
                <w:sz w:val="18"/>
                <w:szCs w:val="18"/>
                <w:lang w:val="es-CO"/>
              </w:rPr>
              <w:t>con altos estándares de calidad, entretenidos de carácter educativo, cultural e institucional buscando fomentar la identidad nacional y la construcción de ciudadanía.</w:t>
            </w:r>
          </w:p>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Promoción y divulgación de las emisoras</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Administración de estudios de radio</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val="restart"/>
            <w:vAlign w:val="center"/>
          </w:tcPr>
          <w:p w:rsidR="00D404A3" w:rsidRPr="00FC5541" w:rsidRDefault="00D404A3" w:rsidP="00815D05">
            <w:pPr>
              <w:spacing w:after="0" w:line="240" w:lineRule="auto"/>
              <w:jc w:val="both"/>
              <w:rPr>
                <w:rFonts w:ascii="Calibri" w:hAnsi="Calibri"/>
                <w:b/>
                <w:sz w:val="18"/>
                <w:szCs w:val="18"/>
                <w:lang w:val="es-CO"/>
              </w:rPr>
            </w:pPr>
            <w:r w:rsidRPr="00FC5541">
              <w:rPr>
                <w:rFonts w:ascii="Calibri" w:hAnsi="Calibri"/>
                <w:b/>
                <w:sz w:val="18"/>
                <w:szCs w:val="18"/>
                <w:lang w:val="es-CO"/>
              </w:rPr>
              <w:t>Producción de TV</w:t>
            </w: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Administración de estudios de TV</w:t>
            </w:r>
          </w:p>
        </w:tc>
        <w:tc>
          <w:tcPr>
            <w:tcW w:w="2265" w:type="pct"/>
            <w:vMerge w:val="restart"/>
          </w:tcPr>
          <w:p w:rsidR="00D404A3" w:rsidRPr="00FC5541" w:rsidRDefault="00D404A3" w:rsidP="00D404A3">
            <w:pPr>
              <w:spacing w:after="0" w:line="240" w:lineRule="auto"/>
              <w:jc w:val="both"/>
              <w:rPr>
                <w:rFonts w:ascii="Calibri" w:hAnsi="Calibri"/>
                <w:sz w:val="18"/>
                <w:szCs w:val="18"/>
                <w:lang w:val="es-CO"/>
              </w:rPr>
            </w:pPr>
            <w:r w:rsidRPr="00FC5541">
              <w:rPr>
                <w:rFonts w:ascii="Calibri" w:hAnsi="Calibri"/>
                <w:sz w:val="18"/>
                <w:szCs w:val="18"/>
                <w:lang w:val="es-ES"/>
              </w:rPr>
              <w:t xml:space="preserve">Producir contenidos audiovisuales </w:t>
            </w:r>
            <w:r w:rsidRPr="00FC5541">
              <w:rPr>
                <w:rFonts w:ascii="Calibri" w:hAnsi="Calibri"/>
                <w:sz w:val="18"/>
                <w:szCs w:val="18"/>
                <w:lang w:val="es-CO"/>
              </w:rPr>
              <w:t>con altos estándares de calidad, entretenidos de carácter educativo, cultural e institucional buscando fomentar la identidad nacional y la construcción de ciudadanía.</w:t>
            </w:r>
          </w:p>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Adquisición y control de licencias de emisión</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Proceso de mercadeo y venta de señal institucional</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Proceso e gestión comercial</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Trafico y alistamiento de material audiovisual de emisión de señal Colombia</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proofErr w:type="spellStart"/>
            <w:r w:rsidRPr="00FC5541">
              <w:rPr>
                <w:rFonts w:ascii="Calibri" w:hAnsi="Calibri"/>
                <w:sz w:val="18"/>
                <w:szCs w:val="18"/>
                <w:lang w:val="es-CO"/>
              </w:rPr>
              <w:t>autopromo</w:t>
            </w:r>
            <w:proofErr w:type="spellEnd"/>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jc w:val="both"/>
              <w:rPr>
                <w:rFonts w:ascii="Calibri" w:hAnsi="Calibri"/>
                <w:sz w:val="18"/>
                <w:szCs w:val="18"/>
                <w:lang w:val="es-CO"/>
              </w:rPr>
            </w:pPr>
            <w:r w:rsidRPr="00FC5541">
              <w:rPr>
                <w:rFonts w:ascii="Calibri" w:hAnsi="Calibri"/>
                <w:sz w:val="18"/>
                <w:szCs w:val="18"/>
                <w:lang w:val="es-CO"/>
              </w:rPr>
              <w:t>Seguimiento al proceso de producción señal Colombia</w:t>
            </w:r>
          </w:p>
        </w:tc>
        <w:tc>
          <w:tcPr>
            <w:tcW w:w="2265" w:type="pct"/>
            <w:vMerge/>
          </w:tcPr>
          <w:p w:rsidR="00D404A3" w:rsidRPr="00FC5541" w:rsidRDefault="00D404A3" w:rsidP="00815D05">
            <w:pPr>
              <w:spacing w:after="0" w:line="240" w:lineRule="auto"/>
              <w:jc w:val="both"/>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jc w:val="both"/>
              <w:rPr>
                <w:rFonts w:ascii="Calibri" w:hAnsi="Calibri"/>
                <w:sz w:val="18"/>
                <w:szCs w:val="18"/>
                <w:lang w:val="es-CO"/>
              </w:rPr>
            </w:pPr>
            <w:r w:rsidRPr="00FC5541">
              <w:rPr>
                <w:rFonts w:ascii="Calibri" w:hAnsi="Calibri"/>
                <w:sz w:val="18"/>
                <w:szCs w:val="18"/>
                <w:lang w:val="es-CO"/>
              </w:rPr>
              <w:t xml:space="preserve">Trafico y alistamiento de canal institucional </w:t>
            </w:r>
          </w:p>
        </w:tc>
        <w:tc>
          <w:tcPr>
            <w:tcW w:w="2265" w:type="pct"/>
            <w:vMerge/>
          </w:tcPr>
          <w:p w:rsidR="00D404A3" w:rsidRPr="00FC5541" w:rsidRDefault="00D404A3" w:rsidP="00815D05">
            <w:pPr>
              <w:spacing w:after="0" w:line="240" w:lineRule="auto"/>
              <w:jc w:val="both"/>
              <w:rPr>
                <w:rFonts w:ascii="Calibri" w:hAnsi="Calibri"/>
                <w:sz w:val="18"/>
                <w:szCs w:val="18"/>
                <w:lang w:val="es-CO"/>
              </w:rPr>
            </w:pPr>
          </w:p>
        </w:tc>
      </w:tr>
      <w:tr w:rsidR="00D404A3" w:rsidRPr="00FC5541" w:rsidTr="008D1448">
        <w:trPr>
          <w:trHeight w:val="196"/>
        </w:trPr>
        <w:tc>
          <w:tcPr>
            <w:tcW w:w="1622" w:type="pct"/>
            <w:vMerge/>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jc w:val="both"/>
              <w:rPr>
                <w:rFonts w:ascii="Calibri" w:hAnsi="Calibri"/>
                <w:sz w:val="18"/>
                <w:szCs w:val="18"/>
                <w:lang w:val="es-CO"/>
              </w:rPr>
            </w:pPr>
            <w:r w:rsidRPr="00FC5541">
              <w:rPr>
                <w:rFonts w:ascii="Calibri" w:hAnsi="Calibri"/>
                <w:sz w:val="18"/>
                <w:szCs w:val="18"/>
                <w:lang w:val="es-CO"/>
              </w:rPr>
              <w:t>Producción programación institucional</w:t>
            </w:r>
          </w:p>
        </w:tc>
        <w:tc>
          <w:tcPr>
            <w:tcW w:w="2265" w:type="pct"/>
            <w:vMerge/>
          </w:tcPr>
          <w:p w:rsidR="00D404A3" w:rsidRPr="00FC5541" w:rsidRDefault="00D404A3" w:rsidP="00815D05">
            <w:pPr>
              <w:spacing w:after="0" w:line="240" w:lineRule="auto"/>
              <w:jc w:val="both"/>
              <w:rPr>
                <w:rFonts w:ascii="Calibri" w:hAnsi="Calibri"/>
                <w:sz w:val="18"/>
                <w:szCs w:val="18"/>
                <w:lang w:val="es-CO"/>
              </w:rPr>
            </w:pPr>
          </w:p>
        </w:tc>
      </w:tr>
      <w:tr w:rsidR="00D404A3" w:rsidRPr="00FC5541" w:rsidTr="008D1448">
        <w:trPr>
          <w:trHeight w:val="196"/>
        </w:trPr>
        <w:tc>
          <w:tcPr>
            <w:tcW w:w="1622" w:type="pct"/>
            <w:vMerge w:val="restart"/>
            <w:vAlign w:val="center"/>
          </w:tcPr>
          <w:p w:rsidR="00D404A3" w:rsidRPr="00FC5541" w:rsidRDefault="00D404A3" w:rsidP="00815D05">
            <w:pPr>
              <w:spacing w:after="0" w:line="240" w:lineRule="auto"/>
              <w:jc w:val="both"/>
              <w:rPr>
                <w:rFonts w:ascii="Calibri" w:hAnsi="Calibri"/>
                <w:b/>
                <w:sz w:val="18"/>
                <w:szCs w:val="18"/>
                <w:lang w:val="es-CO"/>
              </w:rPr>
            </w:pPr>
            <w:r w:rsidRPr="00FC5541">
              <w:rPr>
                <w:rFonts w:ascii="Calibri" w:hAnsi="Calibri"/>
                <w:b/>
                <w:sz w:val="18"/>
                <w:szCs w:val="18"/>
                <w:lang w:val="es-CO"/>
              </w:rPr>
              <w:t>Archivo audiovisual</w:t>
            </w: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Administrar videoteca</w:t>
            </w:r>
          </w:p>
        </w:tc>
        <w:tc>
          <w:tcPr>
            <w:tcW w:w="2265" w:type="pct"/>
            <w:vMerge w:val="restart"/>
          </w:tcPr>
          <w:p w:rsidR="00D404A3" w:rsidRPr="00FC5541" w:rsidRDefault="00D404A3" w:rsidP="00D404A3">
            <w:pPr>
              <w:spacing w:after="0" w:line="240" w:lineRule="auto"/>
              <w:jc w:val="both"/>
              <w:rPr>
                <w:rFonts w:ascii="Calibri" w:hAnsi="Calibri"/>
                <w:sz w:val="18"/>
                <w:szCs w:val="18"/>
                <w:lang w:val="es-CO"/>
              </w:rPr>
            </w:pPr>
            <w:r w:rsidRPr="00FC5541">
              <w:rPr>
                <w:rFonts w:ascii="Calibri" w:hAnsi="Calibri"/>
                <w:sz w:val="18"/>
                <w:szCs w:val="18"/>
                <w:lang w:val="es-CO"/>
              </w:rPr>
              <w:t>Administrar el material audiovisual y sonoro garantizando su preservación, la puesta en circulación y su función como soporte de programación.</w:t>
            </w:r>
          </w:p>
        </w:tc>
      </w:tr>
      <w:tr w:rsidR="00D404A3" w:rsidRPr="00FC5541" w:rsidTr="008D1448">
        <w:trPr>
          <w:trHeight w:val="196"/>
        </w:trPr>
        <w:tc>
          <w:tcPr>
            <w:tcW w:w="1622" w:type="pct"/>
            <w:vMerge/>
            <w:vAlign w:val="center"/>
          </w:tcPr>
          <w:p w:rsidR="00D404A3" w:rsidRPr="00FC5541" w:rsidRDefault="00D404A3" w:rsidP="00815D05">
            <w:pPr>
              <w:spacing w:after="0" w:line="240" w:lineRule="auto"/>
              <w:jc w:val="both"/>
              <w:rPr>
                <w:rFonts w:ascii="Calibri" w:hAnsi="Calibri"/>
                <w:b/>
                <w:sz w:val="18"/>
                <w:szCs w:val="18"/>
                <w:lang w:val="es-CO"/>
              </w:rPr>
            </w:pPr>
          </w:p>
        </w:tc>
        <w:tc>
          <w:tcPr>
            <w:tcW w:w="1113" w:type="pct"/>
            <w:vAlign w:val="center"/>
          </w:tcPr>
          <w:p w:rsidR="00D404A3" w:rsidRPr="00FC5541" w:rsidRDefault="00D404A3" w:rsidP="00815D05">
            <w:pPr>
              <w:spacing w:after="0" w:line="240" w:lineRule="auto"/>
              <w:rPr>
                <w:rFonts w:ascii="Calibri" w:hAnsi="Calibri"/>
                <w:sz w:val="18"/>
                <w:szCs w:val="18"/>
                <w:lang w:val="es-CO"/>
              </w:rPr>
            </w:pPr>
            <w:r w:rsidRPr="00FC5541">
              <w:rPr>
                <w:rFonts w:ascii="Calibri" w:hAnsi="Calibri"/>
                <w:sz w:val="18"/>
                <w:szCs w:val="18"/>
                <w:lang w:val="es-CO"/>
              </w:rPr>
              <w:t>Administración de usuario del servidor</w:t>
            </w:r>
          </w:p>
        </w:tc>
        <w:tc>
          <w:tcPr>
            <w:tcW w:w="2265" w:type="pct"/>
            <w:vMerge/>
          </w:tcPr>
          <w:p w:rsidR="00D404A3" w:rsidRPr="00FC5541" w:rsidRDefault="00D404A3" w:rsidP="00815D05">
            <w:pPr>
              <w:spacing w:after="0" w:line="240" w:lineRule="auto"/>
              <w:rPr>
                <w:rFonts w:ascii="Calibri" w:hAnsi="Calibri"/>
                <w:sz w:val="18"/>
                <w:szCs w:val="18"/>
                <w:lang w:val="es-CO"/>
              </w:rPr>
            </w:pPr>
          </w:p>
        </w:tc>
      </w:tr>
      <w:tr w:rsidR="005210F6" w:rsidRPr="00FC5541" w:rsidTr="008D1448">
        <w:trPr>
          <w:trHeight w:val="196"/>
        </w:trPr>
        <w:tc>
          <w:tcPr>
            <w:tcW w:w="1622" w:type="pct"/>
            <w:vMerge w:val="restart"/>
            <w:vAlign w:val="center"/>
          </w:tcPr>
          <w:p w:rsidR="005210F6" w:rsidRPr="00FC5541" w:rsidRDefault="005210F6" w:rsidP="00815D05">
            <w:pPr>
              <w:spacing w:after="0" w:line="240" w:lineRule="auto"/>
              <w:jc w:val="both"/>
              <w:rPr>
                <w:rFonts w:ascii="Calibri" w:hAnsi="Calibri"/>
                <w:b/>
                <w:sz w:val="18"/>
                <w:szCs w:val="18"/>
                <w:lang w:val="es-CO"/>
              </w:rPr>
            </w:pPr>
            <w:r w:rsidRPr="00FC5541">
              <w:rPr>
                <w:rFonts w:ascii="Calibri" w:hAnsi="Calibri"/>
                <w:b/>
                <w:sz w:val="18"/>
                <w:szCs w:val="18"/>
                <w:lang w:val="es-CO"/>
              </w:rPr>
              <w:t>Emisión y transmisión</w:t>
            </w:r>
          </w:p>
        </w:tc>
        <w:tc>
          <w:tcPr>
            <w:tcW w:w="1113" w:type="pct"/>
            <w:vAlign w:val="center"/>
          </w:tcPr>
          <w:p w:rsidR="005210F6" w:rsidRPr="00FC5541" w:rsidRDefault="005210F6" w:rsidP="00815D05">
            <w:pPr>
              <w:spacing w:after="0" w:line="240" w:lineRule="auto"/>
              <w:rPr>
                <w:rFonts w:ascii="Calibri" w:hAnsi="Calibri"/>
                <w:sz w:val="18"/>
                <w:szCs w:val="18"/>
                <w:lang w:val="es-CO"/>
              </w:rPr>
            </w:pPr>
            <w:r w:rsidRPr="00FC5541">
              <w:rPr>
                <w:rFonts w:ascii="Calibri" w:hAnsi="Calibri"/>
                <w:sz w:val="18"/>
                <w:szCs w:val="18"/>
                <w:lang w:val="es-CO"/>
              </w:rPr>
              <w:t>Emisión radio</w:t>
            </w:r>
          </w:p>
        </w:tc>
        <w:tc>
          <w:tcPr>
            <w:tcW w:w="2265" w:type="pct"/>
            <w:vMerge w:val="restart"/>
          </w:tcPr>
          <w:p w:rsidR="00137B97" w:rsidRPr="00FC5541" w:rsidRDefault="00137B97" w:rsidP="00137B97">
            <w:pPr>
              <w:spacing w:after="0" w:line="240" w:lineRule="auto"/>
              <w:jc w:val="both"/>
              <w:rPr>
                <w:rFonts w:ascii="Calibri" w:hAnsi="Calibri"/>
                <w:sz w:val="18"/>
                <w:szCs w:val="18"/>
                <w:lang w:val="es-CO"/>
              </w:rPr>
            </w:pPr>
            <w:r w:rsidRPr="00FC5541">
              <w:rPr>
                <w:rFonts w:ascii="Calibri" w:hAnsi="Calibri"/>
                <w:sz w:val="18"/>
                <w:szCs w:val="18"/>
                <w:lang w:val="es-CO"/>
              </w:rPr>
              <w:t>Emitir y transmitir la señal de los canales y emisoras públicas a nuestras audiencias, por medio de las redes y equipos de emisión y transmisión de radio y Televisión, de acuerdo a los requerimientos técnicos y a la programación de estos medios de comunicación.</w:t>
            </w:r>
          </w:p>
          <w:p w:rsidR="005210F6" w:rsidRPr="00FC5541" w:rsidRDefault="005210F6" w:rsidP="00815D05">
            <w:pPr>
              <w:spacing w:after="0" w:line="240" w:lineRule="auto"/>
              <w:rPr>
                <w:rFonts w:ascii="Calibri" w:hAnsi="Calibri"/>
                <w:sz w:val="18"/>
                <w:szCs w:val="18"/>
                <w:lang w:val="es-CO"/>
              </w:rPr>
            </w:pPr>
          </w:p>
        </w:tc>
      </w:tr>
      <w:tr w:rsidR="005210F6" w:rsidRPr="00FC5541" w:rsidTr="008D1448">
        <w:trPr>
          <w:trHeight w:val="196"/>
        </w:trPr>
        <w:tc>
          <w:tcPr>
            <w:tcW w:w="1622" w:type="pct"/>
            <w:vMerge/>
          </w:tcPr>
          <w:p w:rsidR="005210F6" w:rsidRPr="00FC5541" w:rsidRDefault="005210F6" w:rsidP="00815D05">
            <w:pPr>
              <w:spacing w:after="0" w:line="240" w:lineRule="auto"/>
              <w:jc w:val="both"/>
              <w:rPr>
                <w:rFonts w:ascii="Calibri" w:hAnsi="Calibri"/>
                <w:b/>
                <w:sz w:val="18"/>
                <w:szCs w:val="18"/>
                <w:lang w:val="es-CO"/>
              </w:rPr>
            </w:pPr>
          </w:p>
        </w:tc>
        <w:tc>
          <w:tcPr>
            <w:tcW w:w="1113" w:type="pct"/>
            <w:vAlign w:val="center"/>
          </w:tcPr>
          <w:p w:rsidR="005210F6" w:rsidRPr="00FC5541" w:rsidRDefault="005210F6" w:rsidP="00815D05">
            <w:pPr>
              <w:spacing w:after="0" w:line="240" w:lineRule="auto"/>
              <w:rPr>
                <w:rFonts w:ascii="Calibri" w:hAnsi="Calibri"/>
                <w:sz w:val="18"/>
                <w:szCs w:val="18"/>
                <w:lang w:val="es-CO"/>
              </w:rPr>
            </w:pPr>
            <w:r w:rsidRPr="00FC5541">
              <w:rPr>
                <w:rFonts w:ascii="Calibri" w:hAnsi="Calibri"/>
                <w:sz w:val="18"/>
                <w:szCs w:val="18"/>
                <w:lang w:val="es-CO"/>
              </w:rPr>
              <w:t>Proceso de emisión de TV</w:t>
            </w:r>
          </w:p>
        </w:tc>
        <w:tc>
          <w:tcPr>
            <w:tcW w:w="2265" w:type="pct"/>
            <w:vMerge/>
          </w:tcPr>
          <w:p w:rsidR="005210F6" w:rsidRPr="00FC5541" w:rsidRDefault="005210F6" w:rsidP="00815D05">
            <w:pPr>
              <w:spacing w:after="0" w:line="240" w:lineRule="auto"/>
              <w:rPr>
                <w:rFonts w:ascii="Calibri" w:hAnsi="Calibri"/>
                <w:sz w:val="18"/>
                <w:szCs w:val="18"/>
                <w:lang w:val="es-CO"/>
              </w:rPr>
            </w:pPr>
          </w:p>
        </w:tc>
      </w:tr>
      <w:tr w:rsidR="005210F6" w:rsidRPr="00FC5541" w:rsidTr="008D1448">
        <w:trPr>
          <w:trHeight w:val="196"/>
        </w:trPr>
        <w:tc>
          <w:tcPr>
            <w:tcW w:w="1622" w:type="pct"/>
            <w:vMerge/>
          </w:tcPr>
          <w:p w:rsidR="005210F6" w:rsidRPr="00FC5541" w:rsidRDefault="005210F6" w:rsidP="00815D05">
            <w:pPr>
              <w:spacing w:after="0" w:line="240" w:lineRule="auto"/>
              <w:jc w:val="both"/>
              <w:rPr>
                <w:rFonts w:ascii="Calibri" w:hAnsi="Calibri"/>
                <w:sz w:val="18"/>
                <w:szCs w:val="18"/>
                <w:lang w:val="es-CO"/>
              </w:rPr>
            </w:pPr>
          </w:p>
        </w:tc>
        <w:tc>
          <w:tcPr>
            <w:tcW w:w="1113" w:type="pct"/>
            <w:vAlign w:val="center"/>
          </w:tcPr>
          <w:p w:rsidR="005210F6" w:rsidRPr="00FC5541" w:rsidRDefault="005210F6" w:rsidP="00815D05">
            <w:pPr>
              <w:spacing w:after="0" w:line="240" w:lineRule="auto"/>
              <w:rPr>
                <w:rFonts w:ascii="Calibri" w:hAnsi="Calibri"/>
                <w:sz w:val="18"/>
                <w:szCs w:val="18"/>
                <w:lang w:val="es-CO"/>
              </w:rPr>
            </w:pPr>
            <w:r w:rsidRPr="00FC5541">
              <w:rPr>
                <w:rFonts w:ascii="Calibri" w:hAnsi="Calibri"/>
                <w:sz w:val="18"/>
                <w:szCs w:val="18"/>
                <w:lang w:val="es-CO"/>
              </w:rPr>
              <w:t>Gestión de proy</w:t>
            </w:r>
            <w:bookmarkStart w:id="0" w:name="_GoBack"/>
            <w:bookmarkEnd w:id="0"/>
            <w:r w:rsidRPr="00FC5541">
              <w:rPr>
                <w:rFonts w:ascii="Calibri" w:hAnsi="Calibri"/>
                <w:sz w:val="18"/>
                <w:szCs w:val="18"/>
                <w:lang w:val="es-CO"/>
              </w:rPr>
              <w:t>ectos técnicos</w:t>
            </w:r>
          </w:p>
        </w:tc>
        <w:tc>
          <w:tcPr>
            <w:tcW w:w="2265" w:type="pct"/>
            <w:vMerge/>
          </w:tcPr>
          <w:p w:rsidR="005210F6" w:rsidRPr="00FC5541" w:rsidRDefault="005210F6" w:rsidP="00815D05">
            <w:pPr>
              <w:spacing w:after="0" w:line="240" w:lineRule="auto"/>
              <w:rPr>
                <w:rFonts w:ascii="Calibri" w:hAnsi="Calibri"/>
                <w:sz w:val="18"/>
                <w:szCs w:val="18"/>
                <w:lang w:val="es-CO"/>
              </w:rPr>
            </w:pPr>
          </w:p>
        </w:tc>
      </w:tr>
      <w:tr w:rsidR="005210F6" w:rsidRPr="00FC5541" w:rsidTr="008D1448">
        <w:trPr>
          <w:trHeight w:val="196"/>
        </w:trPr>
        <w:tc>
          <w:tcPr>
            <w:tcW w:w="1622" w:type="pct"/>
            <w:vMerge/>
          </w:tcPr>
          <w:p w:rsidR="005210F6" w:rsidRPr="00FC5541" w:rsidRDefault="005210F6" w:rsidP="00815D05">
            <w:pPr>
              <w:spacing w:after="0" w:line="240" w:lineRule="auto"/>
              <w:jc w:val="both"/>
              <w:rPr>
                <w:rFonts w:ascii="Calibri" w:hAnsi="Calibri"/>
                <w:sz w:val="18"/>
                <w:szCs w:val="18"/>
                <w:lang w:val="es-CO"/>
              </w:rPr>
            </w:pPr>
          </w:p>
        </w:tc>
        <w:tc>
          <w:tcPr>
            <w:tcW w:w="1113" w:type="pct"/>
            <w:vAlign w:val="center"/>
          </w:tcPr>
          <w:p w:rsidR="005210F6" w:rsidRPr="00FC5541" w:rsidRDefault="005210F6" w:rsidP="00815D05">
            <w:pPr>
              <w:spacing w:after="0" w:line="240" w:lineRule="auto"/>
              <w:rPr>
                <w:rFonts w:ascii="Calibri" w:hAnsi="Calibri"/>
                <w:sz w:val="18"/>
                <w:szCs w:val="18"/>
                <w:lang w:val="es-CO"/>
              </w:rPr>
            </w:pPr>
            <w:r w:rsidRPr="00FC5541">
              <w:rPr>
                <w:rFonts w:ascii="Calibri" w:hAnsi="Calibri"/>
                <w:sz w:val="18"/>
                <w:szCs w:val="18"/>
                <w:lang w:val="es-CO"/>
              </w:rPr>
              <w:t>Administración de la red publica</w:t>
            </w:r>
          </w:p>
        </w:tc>
        <w:tc>
          <w:tcPr>
            <w:tcW w:w="2265" w:type="pct"/>
            <w:vMerge/>
          </w:tcPr>
          <w:p w:rsidR="005210F6" w:rsidRPr="00FC5541" w:rsidRDefault="005210F6" w:rsidP="00815D05">
            <w:pPr>
              <w:spacing w:after="0" w:line="240" w:lineRule="auto"/>
              <w:rPr>
                <w:rFonts w:ascii="Calibri" w:hAnsi="Calibri"/>
                <w:sz w:val="18"/>
                <w:szCs w:val="18"/>
                <w:lang w:val="es-CO"/>
              </w:rPr>
            </w:pPr>
          </w:p>
        </w:tc>
      </w:tr>
      <w:tr w:rsidR="005210F6" w:rsidRPr="00FC5541" w:rsidTr="008D1448">
        <w:trPr>
          <w:trHeight w:val="196"/>
        </w:trPr>
        <w:tc>
          <w:tcPr>
            <w:tcW w:w="1622" w:type="pct"/>
            <w:vMerge/>
          </w:tcPr>
          <w:p w:rsidR="005210F6" w:rsidRPr="00FC5541" w:rsidRDefault="005210F6" w:rsidP="00815D05">
            <w:pPr>
              <w:spacing w:after="0" w:line="240" w:lineRule="auto"/>
              <w:jc w:val="both"/>
              <w:rPr>
                <w:rFonts w:ascii="Calibri" w:hAnsi="Calibri"/>
                <w:sz w:val="18"/>
                <w:szCs w:val="18"/>
                <w:lang w:val="es-CO"/>
              </w:rPr>
            </w:pPr>
          </w:p>
        </w:tc>
        <w:tc>
          <w:tcPr>
            <w:tcW w:w="1113" w:type="pct"/>
            <w:vAlign w:val="center"/>
          </w:tcPr>
          <w:p w:rsidR="005210F6" w:rsidRPr="00FC5541" w:rsidRDefault="005210F6" w:rsidP="00815D05">
            <w:pPr>
              <w:spacing w:after="0" w:line="240" w:lineRule="auto"/>
              <w:jc w:val="both"/>
              <w:rPr>
                <w:rFonts w:ascii="Calibri" w:hAnsi="Calibri"/>
                <w:sz w:val="18"/>
                <w:szCs w:val="18"/>
                <w:lang w:val="es-CO"/>
              </w:rPr>
            </w:pPr>
            <w:r w:rsidRPr="00FC5541">
              <w:rPr>
                <w:rFonts w:ascii="Calibri" w:hAnsi="Calibri"/>
                <w:sz w:val="18"/>
                <w:szCs w:val="18"/>
                <w:lang w:val="es-CO"/>
              </w:rPr>
              <w:t>Mantenimiento correctivo de equipos de post producción de TV</w:t>
            </w:r>
          </w:p>
        </w:tc>
        <w:tc>
          <w:tcPr>
            <w:tcW w:w="2265" w:type="pct"/>
            <w:vMerge/>
          </w:tcPr>
          <w:p w:rsidR="005210F6" w:rsidRPr="00FC5541" w:rsidRDefault="005210F6" w:rsidP="00815D05">
            <w:pPr>
              <w:spacing w:after="0" w:line="240" w:lineRule="auto"/>
              <w:jc w:val="both"/>
              <w:rPr>
                <w:rFonts w:ascii="Calibri" w:hAnsi="Calibri"/>
                <w:sz w:val="18"/>
                <w:szCs w:val="18"/>
                <w:lang w:val="es-CO"/>
              </w:rPr>
            </w:pPr>
          </w:p>
        </w:tc>
      </w:tr>
      <w:tr w:rsidR="005210F6" w:rsidRPr="00FC5541" w:rsidTr="008D1448">
        <w:trPr>
          <w:trHeight w:val="196"/>
        </w:trPr>
        <w:tc>
          <w:tcPr>
            <w:tcW w:w="1622" w:type="pct"/>
            <w:vMerge/>
          </w:tcPr>
          <w:p w:rsidR="005210F6" w:rsidRPr="00FC5541" w:rsidRDefault="005210F6" w:rsidP="00815D05">
            <w:pPr>
              <w:spacing w:after="0" w:line="240" w:lineRule="auto"/>
              <w:jc w:val="both"/>
              <w:rPr>
                <w:rFonts w:ascii="Calibri" w:hAnsi="Calibri"/>
                <w:sz w:val="18"/>
                <w:szCs w:val="18"/>
                <w:lang w:val="es-CO"/>
              </w:rPr>
            </w:pPr>
          </w:p>
        </w:tc>
        <w:tc>
          <w:tcPr>
            <w:tcW w:w="1113" w:type="pct"/>
            <w:vAlign w:val="center"/>
          </w:tcPr>
          <w:p w:rsidR="005210F6" w:rsidRPr="00FC5541" w:rsidRDefault="005210F6" w:rsidP="00815D05">
            <w:pPr>
              <w:spacing w:after="0" w:line="240" w:lineRule="auto"/>
              <w:rPr>
                <w:rFonts w:ascii="Calibri" w:hAnsi="Calibri"/>
                <w:sz w:val="18"/>
                <w:szCs w:val="18"/>
                <w:lang w:val="es-CO"/>
              </w:rPr>
            </w:pPr>
            <w:r w:rsidRPr="00FC5541">
              <w:rPr>
                <w:rFonts w:ascii="Calibri" w:hAnsi="Calibri"/>
                <w:sz w:val="18"/>
                <w:szCs w:val="18"/>
                <w:lang w:val="es-CO"/>
              </w:rPr>
              <w:t>Mantenimiento preventivo de equipos de pos producción</w:t>
            </w:r>
          </w:p>
        </w:tc>
        <w:tc>
          <w:tcPr>
            <w:tcW w:w="2265" w:type="pct"/>
            <w:vMerge/>
          </w:tcPr>
          <w:p w:rsidR="005210F6" w:rsidRPr="00FC5541" w:rsidRDefault="005210F6" w:rsidP="00815D05">
            <w:pPr>
              <w:spacing w:after="0" w:line="240" w:lineRule="auto"/>
              <w:rPr>
                <w:rFonts w:ascii="Calibri" w:hAnsi="Calibri"/>
                <w:sz w:val="18"/>
                <w:szCs w:val="18"/>
                <w:lang w:val="es-CO"/>
              </w:rPr>
            </w:pPr>
          </w:p>
        </w:tc>
      </w:tr>
    </w:tbl>
    <w:p w:rsidR="008D1448" w:rsidRPr="00FC5541" w:rsidRDefault="008D1448" w:rsidP="00A83B6E">
      <w:pPr>
        <w:jc w:val="both"/>
        <w:rPr>
          <w:rFonts w:ascii="Calibri" w:hAnsi="Calibri"/>
          <w:noProof/>
          <w:sz w:val="18"/>
          <w:szCs w:val="18"/>
          <w:lang w:val="es-ES"/>
        </w:rPr>
      </w:pPr>
    </w:p>
    <w:sectPr w:rsidR="008D1448" w:rsidRPr="00FC5541" w:rsidSect="00611821">
      <w:footerReference w:type="default" r:id="rId10"/>
      <w:pgSz w:w="15840" w:h="12240" w:orient="landscape"/>
      <w:pgMar w:top="1440" w:right="1440" w:bottom="1440" w:left="144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0E" w:rsidRDefault="0011750E" w:rsidP="00AA5315">
      <w:pPr>
        <w:spacing w:after="0" w:line="240" w:lineRule="auto"/>
      </w:pPr>
      <w:r>
        <w:separator/>
      </w:r>
    </w:p>
  </w:endnote>
  <w:endnote w:type="continuationSeparator" w:id="0">
    <w:p w:rsidR="0011750E" w:rsidRDefault="0011750E" w:rsidP="00AA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15" w:rsidRPr="00AA5315" w:rsidRDefault="00AA5315">
    <w:pPr>
      <w:pStyle w:val="Piedepgina"/>
      <w:rPr>
        <w:lang w:val="es-CO"/>
      </w:rPr>
    </w:pPr>
    <w:r w:rsidRPr="00AA5315">
      <w:rPr>
        <w:lang w:val="es-CO"/>
      </w:rPr>
      <w:t>Oficina de planeación</w:t>
    </w:r>
  </w:p>
  <w:p w:rsidR="00AA5315" w:rsidRPr="00AA5315" w:rsidRDefault="00AA5315">
    <w:pPr>
      <w:pStyle w:val="Piedepgina"/>
      <w:rPr>
        <w:lang w:val="es-CO"/>
      </w:rPr>
    </w:pPr>
    <w:r w:rsidRPr="00AA5315">
      <w:rPr>
        <w:lang w:val="es-CO"/>
      </w:rPr>
      <w:t xml:space="preserve">Edito. Paola Peñaloza </w:t>
    </w:r>
    <w:r w:rsidR="00FC5541" w:rsidRPr="00AA5315">
      <w:rPr>
        <w:lang w:val="es-CO"/>
      </w:rPr>
      <w:t>Calderón</w:t>
    </w:r>
    <w:r w:rsidRPr="00AA5315">
      <w:rPr>
        <w:lang w:val="es-CO"/>
      </w:rPr>
      <w:t xml:space="preserve"> y </w:t>
    </w:r>
    <w:proofErr w:type="spellStart"/>
    <w:r w:rsidRPr="00AA5315">
      <w:rPr>
        <w:lang w:val="es-CO"/>
      </w:rPr>
      <w:t>N</w:t>
    </w:r>
    <w:r w:rsidR="00FC5541">
      <w:rPr>
        <w:lang w:val="es-CO"/>
      </w:rPr>
      <w:t>athalia</w:t>
    </w:r>
    <w:proofErr w:type="spellEnd"/>
    <w:r w:rsidR="00FC5541">
      <w:rPr>
        <w:lang w:val="es-CO"/>
      </w:rPr>
      <w:t xml:space="preserve"> Palacio – Profesionales Coordinación de P</w:t>
    </w:r>
    <w:r w:rsidR="00FC5541" w:rsidRPr="00AA5315">
      <w:rPr>
        <w:lang w:val="es-CO"/>
      </w:rPr>
      <w:t>laneación</w:t>
    </w:r>
  </w:p>
  <w:p w:rsidR="00AA5315" w:rsidRPr="00AA5315" w:rsidRDefault="00AA5315">
    <w:pPr>
      <w:pStyle w:val="Piedepgina"/>
      <w:rPr>
        <w:lang w:val="es-CO"/>
      </w:rPr>
    </w:pPr>
    <w:r w:rsidRPr="00AA5315">
      <w:rPr>
        <w:lang w:val="es-CO"/>
      </w:rPr>
      <w:t xml:space="preserve">Reviso. </w:t>
    </w:r>
    <w:r w:rsidR="00FC5541" w:rsidRPr="00AA5315">
      <w:rPr>
        <w:lang w:val="es-CO"/>
      </w:rPr>
      <w:t>Asdrúbal</w:t>
    </w:r>
    <w:r w:rsidR="00FC5541">
      <w:rPr>
        <w:lang w:val="es-CO"/>
      </w:rPr>
      <w:t xml:space="preserve"> Suarez Suarez – Coordinador de P</w:t>
    </w:r>
    <w:r w:rsidRPr="00AA5315">
      <w:rPr>
        <w:lang w:val="es-CO"/>
      </w:rPr>
      <w:t>laneación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0E" w:rsidRDefault="0011750E" w:rsidP="00AA5315">
      <w:pPr>
        <w:spacing w:after="0" w:line="240" w:lineRule="auto"/>
      </w:pPr>
      <w:r>
        <w:separator/>
      </w:r>
    </w:p>
  </w:footnote>
  <w:footnote w:type="continuationSeparator" w:id="0">
    <w:p w:rsidR="0011750E" w:rsidRDefault="0011750E" w:rsidP="00AA5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0E9D"/>
    <w:multiLevelType w:val="hybridMultilevel"/>
    <w:tmpl w:val="A190A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B0"/>
    <w:rsid w:val="000C14EE"/>
    <w:rsid w:val="000D5846"/>
    <w:rsid w:val="000F78B0"/>
    <w:rsid w:val="0011750E"/>
    <w:rsid w:val="00125B67"/>
    <w:rsid w:val="00137B97"/>
    <w:rsid w:val="00146626"/>
    <w:rsid w:val="001507F4"/>
    <w:rsid w:val="002E5962"/>
    <w:rsid w:val="005210F6"/>
    <w:rsid w:val="005903F9"/>
    <w:rsid w:val="00590F0B"/>
    <w:rsid w:val="005E2D23"/>
    <w:rsid w:val="00611821"/>
    <w:rsid w:val="006A002C"/>
    <w:rsid w:val="006A3817"/>
    <w:rsid w:val="007D155A"/>
    <w:rsid w:val="00827275"/>
    <w:rsid w:val="008D1448"/>
    <w:rsid w:val="008F57B5"/>
    <w:rsid w:val="009401CB"/>
    <w:rsid w:val="00A72783"/>
    <w:rsid w:val="00A83B6E"/>
    <w:rsid w:val="00AA5315"/>
    <w:rsid w:val="00BD2E5C"/>
    <w:rsid w:val="00C138D2"/>
    <w:rsid w:val="00C35A76"/>
    <w:rsid w:val="00CF7AD8"/>
    <w:rsid w:val="00D127BE"/>
    <w:rsid w:val="00D404A3"/>
    <w:rsid w:val="00D87064"/>
    <w:rsid w:val="00DA1E7C"/>
    <w:rsid w:val="00DB0216"/>
    <w:rsid w:val="00E45F9C"/>
    <w:rsid w:val="00EC668F"/>
    <w:rsid w:val="00ED5782"/>
    <w:rsid w:val="00EE3F05"/>
    <w:rsid w:val="00F42F63"/>
    <w:rsid w:val="00FB2786"/>
    <w:rsid w:val="00FC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E19"/>
  <w15:chartTrackingRefBased/>
  <w15:docId w15:val="{05BB2E49-3360-473A-8413-60000CDF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Descripci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AA5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315"/>
  </w:style>
  <w:style w:type="paragraph" w:styleId="Piedepgina">
    <w:name w:val="footer"/>
    <w:basedOn w:val="Normal"/>
    <w:link w:val="PiedepginaCar"/>
    <w:uiPriority w:val="99"/>
    <w:unhideWhenUsed/>
    <w:rsid w:val="00AA5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315"/>
  </w:style>
  <w:style w:type="paragraph" w:customStyle="1" w:styleId="Default">
    <w:name w:val="Default"/>
    <w:rsid w:val="00D87064"/>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944">
      <w:bodyDiv w:val="1"/>
      <w:marLeft w:val="0"/>
      <w:marRight w:val="0"/>
      <w:marTop w:val="0"/>
      <w:marBottom w:val="0"/>
      <w:divBdr>
        <w:top w:val="none" w:sz="0" w:space="0" w:color="auto"/>
        <w:left w:val="none" w:sz="0" w:space="0" w:color="auto"/>
        <w:bottom w:val="none" w:sz="0" w:space="0" w:color="auto"/>
        <w:right w:val="none" w:sz="0" w:space="0" w:color="auto"/>
      </w:divBdr>
    </w:div>
    <w:div w:id="288704274">
      <w:bodyDiv w:val="1"/>
      <w:marLeft w:val="0"/>
      <w:marRight w:val="0"/>
      <w:marTop w:val="0"/>
      <w:marBottom w:val="0"/>
      <w:divBdr>
        <w:top w:val="none" w:sz="0" w:space="0" w:color="auto"/>
        <w:left w:val="none" w:sz="0" w:space="0" w:color="auto"/>
        <w:bottom w:val="none" w:sz="0" w:space="0" w:color="auto"/>
        <w:right w:val="none" w:sz="0" w:space="0" w:color="auto"/>
      </w:divBdr>
    </w:div>
    <w:div w:id="439493932">
      <w:bodyDiv w:val="1"/>
      <w:marLeft w:val="0"/>
      <w:marRight w:val="0"/>
      <w:marTop w:val="0"/>
      <w:marBottom w:val="0"/>
      <w:divBdr>
        <w:top w:val="none" w:sz="0" w:space="0" w:color="auto"/>
        <w:left w:val="none" w:sz="0" w:space="0" w:color="auto"/>
        <w:bottom w:val="none" w:sz="0" w:space="0" w:color="auto"/>
        <w:right w:val="none" w:sz="0" w:space="0" w:color="auto"/>
      </w:divBdr>
    </w:div>
    <w:div w:id="522092056">
      <w:bodyDiv w:val="1"/>
      <w:marLeft w:val="0"/>
      <w:marRight w:val="0"/>
      <w:marTop w:val="0"/>
      <w:marBottom w:val="0"/>
      <w:divBdr>
        <w:top w:val="none" w:sz="0" w:space="0" w:color="auto"/>
        <w:left w:val="none" w:sz="0" w:space="0" w:color="auto"/>
        <w:bottom w:val="none" w:sz="0" w:space="0" w:color="auto"/>
        <w:right w:val="none" w:sz="0" w:space="0" w:color="auto"/>
      </w:divBdr>
    </w:div>
    <w:div w:id="651131511">
      <w:bodyDiv w:val="1"/>
      <w:marLeft w:val="0"/>
      <w:marRight w:val="0"/>
      <w:marTop w:val="0"/>
      <w:marBottom w:val="0"/>
      <w:divBdr>
        <w:top w:val="none" w:sz="0" w:space="0" w:color="auto"/>
        <w:left w:val="none" w:sz="0" w:space="0" w:color="auto"/>
        <w:bottom w:val="none" w:sz="0" w:space="0" w:color="auto"/>
        <w:right w:val="none" w:sz="0" w:space="0" w:color="auto"/>
      </w:divBdr>
    </w:div>
    <w:div w:id="827021000">
      <w:bodyDiv w:val="1"/>
      <w:marLeft w:val="0"/>
      <w:marRight w:val="0"/>
      <w:marTop w:val="0"/>
      <w:marBottom w:val="0"/>
      <w:divBdr>
        <w:top w:val="none" w:sz="0" w:space="0" w:color="auto"/>
        <w:left w:val="none" w:sz="0" w:space="0" w:color="auto"/>
        <w:bottom w:val="none" w:sz="0" w:space="0" w:color="auto"/>
        <w:right w:val="none" w:sz="0" w:space="0" w:color="auto"/>
      </w:divBdr>
    </w:div>
    <w:div w:id="1153566556">
      <w:bodyDiv w:val="1"/>
      <w:marLeft w:val="0"/>
      <w:marRight w:val="0"/>
      <w:marTop w:val="0"/>
      <w:marBottom w:val="0"/>
      <w:divBdr>
        <w:top w:val="none" w:sz="0" w:space="0" w:color="auto"/>
        <w:left w:val="none" w:sz="0" w:space="0" w:color="auto"/>
        <w:bottom w:val="none" w:sz="0" w:space="0" w:color="auto"/>
        <w:right w:val="none" w:sz="0" w:space="0" w:color="auto"/>
      </w:divBdr>
    </w:div>
    <w:div w:id="1158155850">
      <w:bodyDiv w:val="1"/>
      <w:marLeft w:val="0"/>
      <w:marRight w:val="0"/>
      <w:marTop w:val="0"/>
      <w:marBottom w:val="0"/>
      <w:divBdr>
        <w:top w:val="none" w:sz="0" w:space="0" w:color="auto"/>
        <w:left w:val="none" w:sz="0" w:space="0" w:color="auto"/>
        <w:bottom w:val="none" w:sz="0" w:space="0" w:color="auto"/>
        <w:right w:val="none" w:sz="0" w:space="0" w:color="auto"/>
      </w:divBdr>
    </w:div>
    <w:div w:id="1567180584">
      <w:bodyDiv w:val="1"/>
      <w:marLeft w:val="0"/>
      <w:marRight w:val="0"/>
      <w:marTop w:val="0"/>
      <w:marBottom w:val="0"/>
      <w:divBdr>
        <w:top w:val="none" w:sz="0" w:space="0" w:color="auto"/>
        <w:left w:val="none" w:sz="0" w:space="0" w:color="auto"/>
        <w:bottom w:val="none" w:sz="0" w:space="0" w:color="auto"/>
        <w:right w:val="none" w:sz="0" w:space="0" w:color="auto"/>
      </w:divBdr>
    </w:div>
    <w:div w:id="1635260029">
      <w:bodyDiv w:val="1"/>
      <w:marLeft w:val="0"/>
      <w:marRight w:val="0"/>
      <w:marTop w:val="0"/>
      <w:marBottom w:val="0"/>
      <w:divBdr>
        <w:top w:val="none" w:sz="0" w:space="0" w:color="auto"/>
        <w:left w:val="none" w:sz="0" w:space="0" w:color="auto"/>
        <w:bottom w:val="none" w:sz="0" w:space="0" w:color="auto"/>
        <w:right w:val="none" w:sz="0" w:space="0" w:color="auto"/>
      </w:divBdr>
    </w:div>
    <w:div w:id="1677465483">
      <w:bodyDiv w:val="1"/>
      <w:marLeft w:val="0"/>
      <w:marRight w:val="0"/>
      <w:marTop w:val="0"/>
      <w:marBottom w:val="0"/>
      <w:divBdr>
        <w:top w:val="none" w:sz="0" w:space="0" w:color="auto"/>
        <w:left w:val="none" w:sz="0" w:space="0" w:color="auto"/>
        <w:bottom w:val="none" w:sz="0" w:space="0" w:color="auto"/>
        <w:right w:val="none" w:sz="0" w:space="0" w:color="auto"/>
      </w:divBdr>
    </w:div>
    <w:div w:id="1686052717">
      <w:bodyDiv w:val="1"/>
      <w:marLeft w:val="0"/>
      <w:marRight w:val="0"/>
      <w:marTop w:val="0"/>
      <w:marBottom w:val="0"/>
      <w:divBdr>
        <w:top w:val="none" w:sz="0" w:space="0" w:color="auto"/>
        <w:left w:val="none" w:sz="0" w:space="0" w:color="auto"/>
        <w:bottom w:val="none" w:sz="0" w:space="0" w:color="auto"/>
        <w:right w:val="none" w:sz="0" w:space="0" w:color="auto"/>
      </w:divBdr>
    </w:div>
    <w:div w:id="1720938611">
      <w:bodyDiv w:val="1"/>
      <w:marLeft w:val="0"/>
      <w:marRight w:val="0"/>
      <w:marTop w:val="0"/>
      <w:marBottom w:val="0"/>
      <w:divBdr>
        <w:top w:val="none" w:sz="0" w:space="0" w:color="auto"/>
        <w:left w:val="none" w:sz="0" w:space="0" w:color="auto"/>
        <w:bottom w:val="none" w:sz="0" w:space="0" w:color="auto"/>
        <w:right w:val="none" w:sz="0" w:space="0" w:color="auto"/>
      </w:divBdr>
    </w:div>
    <w:div w:id="1738935111">
      <w:bodyDiv w:val="1"/>
      <w:marLeft w:val="0"/>
      <w:marRight w:val="0"/>
      <w:marTop w:val="0"/>
      <w:marBottom w:val="0"/>
      <w:divBdr>
        <w:top w:val="none" w:sz="0" w:space="0" w:color="auto"/>
        <w:left w:val="none" w:sz="0" w:space="0" w:color="auto"/>
        <w:bottom w:val="none" w:sz="0" w:space="0" w:color="auto"/>
        <w:right w:val="none" w:sz="0" w:space="0" w:color="auto"/>
      </w:divBdr>
    </w:div>
    <w:div w:id="1812597970">
      <w:bodyDiv w:val="1"/>
      <w:marLeft w:val="0"/>
      <w:marRight w:val="0"/>
      <w:marTop w:val="0"/>
      <w:marBottom w:val="0"/>
      <w:divBdr>
        <w:top w:val="none" w:sz="0" w:space="0" w:color="auto"/>
        <w:left w:val="none" w:sz="0" w:space="0" w:color="auto"/>
        <w:bottom w:val="none" w:sz="0" w:space="0" w:color="auto"/>
        <w:right w:val="none" w:sz="0" w:space="0" w:color="auto"/>
      </w:divBdr>
    </w:div>
    <w:div w:id="19519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enaloza\AppData\Roaming\Microsoft\Plantilla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66BE31C-EF7D-4C09-BCDD-30B1C4C2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1</TotalTime>
  <Pages>4</Pages>
  <Words>1114</Words>
  <Characters>6133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Yiseth Paola Peñaloza Calderon</dc:creator>
  <cp:keywords/>
  <cp:lastModifiedBy>Diana Sofia Niño Rey</cp:lastModifiedBy>
  <cp:revision>2</cp:revision>
  <dcterms:created xsi:type="dcterms:W3CDTF">2016-05-27T19:02:00Z</dcterms:created>
  <dcterms:modified xsi:type="dcterms:W3CDTF">2016-05-27T19:02:00Z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