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8" w:type="pct"/>
        <w:tblCellSpacing w:w="0" w:type="dxa"/>
        <w:tblCellMar>
          <w:top w:w="15" w:type="dxa"/>
          <w:left w:w="15" w:type="dxa"/>
          <w:bottom w:w="15" w:type="dxa"/>
          <w:right w:w="15" w:type="dxa"/>
        </w:tblCellMar>
        <w:tblLook w:val="04A0" w:firstRow="1" w:lastRow="0" w:firstColumn="1" w:lastColumn="0" w:noHBand="0" w:noVBand="1"/>
      </w:tblPr>
      <w:tblGrid>
        <w:gridCol w:w="8739"/>
        <w:gridCol w:w="32"/>
        <w:gridCol w:w="32"/>
        <w:gridCol w:w="32"/>
      </w:tblGrid>
      <w:tr w:rsidR="00183B58" w:rsidRPr="00183B58" w:rsidTr="00183B58">
        <w:trPr>
          <w:tblCellSpacing w:w="0" w:type="dxa"/>
          <w:hidden/>
        </w:trPr>
        <w:tc>
          <w:tcPr>
            <w:tcW w:w="0" w:type="auto"/>
            <w:tcBorders>
              <w:top w:val="single" w:sz="2" w:space="0" w:color="000000"/>
              <w:left w:val="single" w:sz="2" w:space="0" w:color="000000"/>
              <w:bottom w:val="single" w:sz="2" w:space="0" w:color="000000"/>
              <w:right w:val="single" w:sz="2" w:space="0" w:color="000000"/>
            </w:tcBorders>
            <w:shd w:val="clear" w:color="auto" w:fill="EDEDED"/>
            <w:tcMar>
              <w:top w:w="0" w:type="dxa"/>
              <w:left w:w="0" w:type="dxa"/>
              <w:bottom w:w="0" w:type="dxa"/>
              <w:right w:w="0" w:type="dxa"/>
            </w:tcMar>
            <w:hideMark/>
          </w:tcPr>
          <w:p w:rsidR="00183B58" w:rsidRPr="00183B58" w:rsidRDefault="00183B58" w:rsidP="00183B58">
            <w:pPr>
              <w:pBdr>
                <w:bottom w:val="single" w:sz="6" w:space="1" w:color="auto"/>
              </w:pBdr>
              <w:spacing w:after="0" w:line="240" w:lineRule="auto"/>
              <w:jc w:val="center"/>
              <w:rPr>
                <w:rFonts w:ascii="Arial" w:eastAsia="Times New Roman" w:hAnsi="Arial" w:cs="Arial"/>
                <w:vanish/>
                <w:sz w:val="16"/>
                <w:szCs w:val="16"/>
                <w:lang w:eastAsia="es-CO"/>
              </w:rPr>
            </w:pPr>
            <w:r w:rsidRPr="00183B58">
              <w:rPr>
                <w:rFonts w:ascii="Arial" w:eastAsia="Times New Roman" w:hAnsi="Arial" w:cs="Arial"/>
                <w:vanish/>
                <w:sz w:val="16"/>
                <w:szCs w:val="16"/>
                <w:lang w:eastAsia="es-CO"/>
              </w:rPr>
              <w:t>Principio del formulario</w:t>
            </w:r>
          </w:p>
          <w:tbl>
            <w:tblPr>
              <w:tblW w:w="9188" w:type="dxa"/>
              <w:jc w:val="center"/>
              <w:tblCellSpacing w:w="15" w:type="dxa"/>
              <w:tblCellMar>
                <w:top w:w="15" w:type="dxa"/>
                <w:left w:w="15" w:type="dxa"/>
                <w:bottom w:w="15" w:type="dxa"/>
                <w:right w:w="15" w:type="dxa"/>
              </w:tblCellMar>
              <w:tblLook w:val="04A0" w:firstRow="1" w:lastRow="0" w:firstColumn="1" w:lastColumn="0" w:noHBand="0" w:noVBand="1"/>
            </w:tblPr>
            <w:tblGrid>
              <w:gridCol w:w="9188"/>
            </w:tblGrid>
            <w:tr w:rsidR="00183B58" w:rsidRPr="00183B58" w:rsidTr="00413596">
              <w:trPr>
                <w:tblCellSpacing w:w="15" w:type="dxa"/>
                <w:jc w:val="center"/>
              </w:trPr>
              <w:tc>
                <w:tcPr>
                  <w:tcW w:w="4967" w:type="pct"/>
                  <w:tcBorders>
                    <w:top w:val="single" w:sz="2" w:space="0" w:color="CCCCCC"/>
                    <w:left w:val="single" w:sz="2" w:space="0" w:color="CCCCCC"/>
                    <w:bottom w:val="single" w:sz="2" w:space="0" w:color="CCCCCC"/>
                    <w:right w:val="single" w:sz="2" w:space="0" w:color="CCCCCC"/>
                  </w:tcBorders>
                  <w:tcMar>
                    <w:top w:w="0" w:type="dxa"/>
                    <w:left w:w="0"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112"/>
                  </w:tblGrid>
                  <w:tr w:rsidR="00183B58" w:rsidRPr="00183B58">
                    <w:trPr>
                      <w:tblCellSpacing w:w="0" w:type="dxa"/>
                    </w:trPr>
                    <w:tc>
                      <w:tcPr>
                        <w:tcW w:w="0" w:type="auto"/>
                        <w:tcBorders>
                          <w:top w:val="single" w:sz="2" w:space="0" w:color="000000"/>
                          <w:left w:val="single" w:sz="2" w:space="0" w:color="000000"/>
                          <w:bottom w:val="single" w:sz="2" w:space="0" w:color="000000"/>
                          <w:right w:val="single" w:sz="2" w:space="0" w:color="000000"/>
                        </w:tcBorders>
                        <w:hideMark/>
                      </w:tcPr>
                      <w:p w:rsidR="00183B58" w:rsidRPr="00183B58" w:rsidRDefault="00183B58" w:rsidP="00183B58">
                        <w:pPr>
                          <w:spacing w:after="0" w:line="240" w:lineRule="auto"/>
                          <w:rPr>
                            <w:rFonts w:ascii="Verdana" w:eastAsia="Times New Roman" w:hAnsi="Verdana" w:cs="Times New Roman"/>
                            <w:sz w:val="15"/>
                            <w:szCs w:val="15"/>
                            <w:lang w:eastAsia="es-CO"/>
                          </w:rPr>
                        </w:pPr>
                      </w:p>
                    </w:tc>
                  </w:tr>
                  <w:tr w:rsidR="00183B58" w:rsidRPr="00183B58">
                    <w:trPr>
                      <w:tblCellSpacing w:w="0" w:type="dxa"/>
                    </w:trPr>
                    <w:tc>
                      <w:tcPr>
                        <w:tcW w:w="0" w:type="auto"/>
                        <w:tcBorders>
                          <w:top w:val="single" w:sz="2" w:space="0" w:color="000000"/>
                          <w:left w:val="single" w:sz="2" w:space="0" w:color="000000"/>
                          <w:bottom w:val="single" w:sz="2" w:space="0" w:color="000000"/>
                          <w:right w:val="single" w:sz="2" w:space="0" w:color="000000"/>
                        </w:tcBorders>
                        <w:vAlign w:val="center"/>
                        <w:hideMark/>
                      </w:tcPr>
                      <w:p w:rsidR="00183B58" w:rsidRPr="00183B58" w:rsidRDefault="00183B58" w:rsidP="00183B58">
                        <w:pPr>
                          <w:spacing w:after="0" w:line="240" w:lineRule="auto"/>
                          <w:rPr>
                            <w:rFonts w:ascii="Verdana" w:eastAsia="Times New Roman" w:hAnsi="Verdana" w:cs="Times New Roman"/>
                            <w:sz w:val="15"/>
                            <w:szCs w:val="15"/>
                            <w:lang w:eastAsia="es-CO"/>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960"/>
                          <w:gridCol w:w="2566"/>
                          <w:gridCol w:w="1992"/>
                          <w:gridCol w:w="2568"/>
                        </w:tblGrid>
                        <w:tr w:rsidR="00183B58" w:rsidRPr="00183B58" w:rsidTr="00183B58">
                          <w:trPr>
                            <w:tblCellSpacing w:w="0" w:type="dxa"/>
                          </w:trPr>
                          <w:tc>
                            <w:tcPr>
                              <w:tcW w:w="1079" w:type="pct"/>
                              <w:tcBorders>
                                <w:top w:val="single" w:sz="6" w:space="0" w:color="CCCCCC"/>
                                <w:left w:val="single" w:sz="6" w:space="0" w:color="CCCCCC"/>
                                <w:bottom w:val="single" w:sz="6" w:space="0" w:color="CCCCCC"/>
                                <w:right w:val="single" w:sz="6" w:space="0" w:color="CCCCCC"/>
                              </w:tcBorders>
                              <w:noWrap/>
                              <w:tcMar>
                                <w:top w:w="75" w:type="dxa"/>
                                <w:left w:w="75" w:type="dxa"/>
                                <w:bottom w:w="75" w:type="dxa"/>
                                <w:right w:w="75" w:type="dxa"/>
                              </w:tcMar>
                              <w:vAlign w:val="center"/>
                              <w:hideMark/>
                            </w:tcPr>
                            <w:p w:rsidR="00183B58" w:rsidRPr="00183B58" w:rsidRDefault="00183B58" w:rsidP="00B404E3">
                              <w:pPr>
                                <w:shd w:val="clear" w:color="auto" w:fill="FFFFFF"/>
                                <w:spacing w:after="0" w:line="240" w:lineRule="auto"/>
                                <w:jc w:val="right"/>
                                <w:rPr>
                                  <w:rFonts w:ascii="Trebuchet MS" w:eastAsia="Times New Roman" w:hAnsi="Trebuchet MS" w:cs="Times New Roman"/>
                                  <w:color w:val="666666"/>
                                  <w:sz w:val="21"/>
                                  <w:szCs w:val="21"/>
                                  <w:lang w:eastAsia="es-CO"/>
                                </w:rPr>
                              </w:pPr>
                              <w:r w:rsidRPr="00183B58">
                                <w:rPr>
                                  <w:rFonts w:ascii="Trebuchet MS" w:eastAsia="Times New Roman" w:hAnsi="Trebuchet MS" w:cs="Times New Roman"/>
                                  <w:noProof/>
                                  <w:color w:val="666666"/>
                                  <w:sz w:val="21"/>
                                  <w:szCs w:val="21"/>
                                  <w:lang w:eastAsia="es-CO"/>
                                </w:rPr>
                                <w:drawing>
                                  <wp:inline distT="0" distB="0" distL="0" distR="0">
                                    <wp:extent cx="1019175" cy="619125"/>
                                    <wp:effectExtent l="0" t="0" r="9525" b="9525"/>
                                    <wp:docPr id="1" name="Imagen 1" descr="https://www.kawak.com.co/senalcolombia/images/datos_empresa/logo_rtvc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awak.com.co/senalcolombia/images/datos_empresa/logo_rtvc_300dp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619125"/>
                                            </a:xfrm>
                                            <a:prstGeom prst="rect">
                                              <a:avLst/>
                                            </a:prstGeom>
                                            <a:noFill/>
                                            <a:ln>
                                              <a:noFill/>
                                            </a:ln>
                                          </pic:spPr>
                                        </pic:pic>
                                      </a:graphicData>
                                    </a:graphic>
                                  </wp:inline>
                                </w:drawing>
                              </w:r>
                            </w:p>
                          </w:tc>
                          <w:tc>
                            <w:tcPr>
                              <w:tcW w:w="0" w:type="auto"/>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183B58">
                              <w:pPr>
                                <w:spacing w:after="0" w:line="240" w:lineRule="auto"/>
                                <w:jc w:val="center"/>
                                <w:rPr>
                                  <w:rFonts w:ascii="Trebuchet MS" w:eastAsia="Times New Roman" w:hAnsi="Trebuchet MS" w:cs="Times New Roman"/>
                                  <w:color w:val="666666"/>
                                  <w:sz w:val="21"/>
                                  <w:szCs w:val="21"/>
                                  <w:lang w:eastAsia="es-CO"/>
                                </w:rPr>
                              </w:pPr>
                              <w:r w:rsidRPr="00183B58">
                                <w:rPr>
                                  <w:rFonts w:ascii="Trebuchet MS" w:eastAsia="Times New Roman" w:hAnsi="Trebuchet MS" w:cs="Times New Roman"/>
                                  <w:b/>
                                  <w:bCs/>
                                  <w:color w:val="333333"/>
                                  <w:sz w:val="21"/>
                                  <w:szCs w:val="21"/>
                                  <w:lang w:eastAsia="es-CO"/>
                                </w:rPr>
                                <w:t>Informe Final</w:t>
                              </w:r>
                            </w:p>
                          </w:tc>
                        </w:tr>
                        <w:tr w:rsidR="00183B58" w:rsidRPr="00183B58" w:rsidTr="00183B58">
                          <w:trPr>
                            <w:tblCellSpacing w:w="0" w:type="dxa"/>
                          </w:trPr>
                          <w:tc>
                            <w:tcPr>
                              <w:tcW w:w="1079" w:type="pct"/>
                              <w:tcBorders>
                                <w:top w:val="single" w:sz="6" w:space="0" w:color="CCCCCC"/>
                                <w:left w:val="single" w:sz="6" w:space="0" w:color="CCCCCC"/>
                                <w:bottom w:val="single" w:sz="6" w:space="0" w:color="CCCCCC"/>
                                <w:right w:val="single" w:sz="6" w:space="0" w:color="CCCCCC"/>
                              </w:tcBorders>
                              <w:noWrap/>
                              <w:tcMar>
                                <w:top w:w="75" w:type="dxa"/>
                                <w:left w:w="75" w:type="dxa"/>
                                <w:bottom w:w="75" w:type="dxa"/>
                                <w:right w:w="75" w:type="dxa"/>
                              </w:tcMar>
                              <w:vAlign w:val="center"/>
                              <w:hideMark/>
                            </w:tcPr>
                            <w:p w:rsidR="00183B58" w:rsidRPr="00183B58" w:rsidRDefault="00183B58" w:rsidP="00183B58">
                              <w:pPr>
                                <w:spacing w:after="0" w:line="240" w:lineRule="auto"/>
                                <w:jc w:val="right"/>
                                <w:rPr>
                                  <w:rFonts w:ascii="Trebuchet MS" w:eastAsia="Times New Roman" w:hAnsi="Trebuchet MS" w:cs="Times New Roman"/>
                                  <w:color w:val="666666"/>
                                  <w:sz w:val="21"/>
                                  <w:szCs w:val="21"/>
                                  <w:lang w:eastAsia="es-CO"/>
                                </w:rPr>
                              </w:pPr>
                              <w:r w:rsidRPr="00183B58">
                                <w:rPr>
                                  <w:rFonts w:ascii="Trebuchet MS" w:eastAsia="Times New Roman" w:hAnsi="Trebuchet MS" w:cs="Times New Roman"/>
                                  <w:b/>
                                  <w:bCs/>
                                  <w:color w:val="333333"/>
                                  <w:sz w:val="21"/>
                                  <w:szCs w:val="21"/>
                                  <w:lang w:eastAsia="es-CO"/>
                                </w:rPr>
                                <w:t>ID</w:t>
                              </w:r>
                            </w:p>
                          </w:tc>
                          <w:tc>
                            <w:tcPr>
                              <w:tcW w:w="1412"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183B58">
                              <w:pPr>
                                <w:spacing w:after="0" w:line="240" w:lineRule="auto"/>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14</w:t>
                              </w:r>
                            </w:p>
                          </w:tc>
                          <w:tc>
                            <w:tcPr>
                              <w:tcW w:w="1096" w:type="pct"/>
                              <w:tcBorders>
                                <w:top w:val="single" w:sz="6" w:space="0" w:color="CCCCCC"/>
                                <w:left w:val="single" w:sz="6" w:space="0" w:color="CCCCCC"/>
                                <w:bottom w:val="single" w:sz="6" w:space="0" w:color="CCCCCC"/>
                                <w:right w:val="single" w:sz="6" w:space="0" w:color="CCCCCC"/>
                              </w:tcBorders>
                              <w:noWrap/>
                              <w:tcMar>
                                <w:top w:w="75" w:type="dxa"/>
                                <w:left w:w="75" w:type="dxa"/>
                                <w:bottom w:w="75" w:type="dxa"/>
                                <w:right w:w="75" w:type="dxa"/>
                              </w:tcMar>
                              <w:vAlign w:val="center"/>
                              <w:hideMark/>
                            </w:tcPr>
                            <w:p w:rsidR="00183B58" w:rsidRPr="00183B58" w:rsidRDefault="00183B58" w:rsidP="00183B58">
                              <w:pPr>
                                <w:spacing w:after="0" w:line="240" w:lineRule="auto"/>
                                <w:jc w:val="right"/>
                                <w:rPr>
                                  <w:rFonts w:ascii="Trebuchet MS" w:eastAsia="Times New Roman" w:hAnsi="Trebuchet MS" w:cs="Times New Roman"/>
                                  <w:color w:val="666666"/>
                                  <w:sz w:val="21"/>
                                  <w:szCs w:val="21"/>
                                  <w:lang w:eastAsia="es-CO"/>
                                </w:rPr>
                              </w:pPr>
                              <w:r w:rsidRPr="00183B58">
                                <w:rPr>
                                  <w:rFonts w:ascii="Trebuchet MS" w:eastAsia="Times New Roman" w:hAnsi="Trebuchet MS" w:cs="Times New Roman"/>
                                  <w:b/>
                                  <w:bCs/>
                                  <w:color w:val="333333"/>
                                  <w:sz w:val="21"/>
                                  <w:szCs w:val="21"/>
                                  <w:lang w:eastAsia="es-CO"/>
                                </w:rPr>
                                <w:t>Tipo de Auditoría</w:t>
                              </w:r>
                            </w:p>
                          </w:tc>
                          <w:tc>
                            <w:tcPr>
                              <w:tcW w:w="1413" w:type="pc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183B58">
                              <w:pPr>
                                <w:spacing w:after="0" w:line="240" w:lineRule="auto"/>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AUDITORIAS INTERNAS</w:t>
                              </w:r>
                            </w:p>
                          </w:tc>
                        </w:tr>
                        <w:tr w:rsidR="00183B58" w:rsidRPr="00183B58">
                          <w:trPr>
                            <w:tblCellSpacing w:w="0" w:type="dxa"/>
                          </w:trPr>
                          <w:tc>
                            <w:tcPr>
                              <w:tcW w:w="0" w:type="auto"/>
                              <w:tcBorders>
                                <w:top w:val="single" w:sz="6" w:space="0" w:color="CCCCCC"/>
                                <w:left w:val="single" w:sz="6" w:space="0" w:color="CCCCCC"/>
                                <w:bottom w:val="single" w:sz="6" w:space="0" w:color="CCCCCC"/>
                                <w:right w:val="single" w:sz="6" w:space="0" w:color="CCCCCC"/>
                              </w:tcBorders>
                              <w:noWrap/>
                              <w:tcMar>
                                <w:top w:w="75" w:type="dxa"/>
                                <w:left w:w="75" w:type="dxa"/>
                                <w:bottom w:w="75" w:type="dxa"/>
                                <w:right w:w="75" w:type="dxa"/>
                              </w:tcMar>
                              <w:vAlign w:val="center"/>
                              <w:hideMark/>
                            </w:tcPr>
                            <w:p w:rsidR="00183B58" w:rsidRPr="00183B58" w:rsidRDefault="00183B58" w:rsidP="00183B58">
                              <w:pPr>
                                <w:spacing w:after="0" w:line="240" w:lineRule="auto"/>
                                <w:jc w:val="right"/>
                                <w:rPr>
                                  <w:rFonts w:ascii="Trebuchet MS" w:eastAsia="Times New Roman" w:hAnsi="Trebuchet MS" w:cs="Times New Roman"/>
                                  <w:color w:val="666666"/>
                                  <w:sz w:val="21"/>
                                  <w:szCs w:val="21"/>
                                  <w:lang w:eastAsia="es-CO"/>
                                </w:rPr>
                              </w:pPr>
                              <w:r w:rsidRPr="00183B58">
                                <w:rPr>
                                  <w:rFonts w:ascii="Trebuchet MS" w:eastAsia="Times New Roman" w:hAnsi="Trebuchet MS" w:cs="Times New Roman"/>
                                  <w:b/>
                                  <w:bCs/>
                                  <w:color w:val="333333"/>
                                  <w:sz w:val="21"/>
                                  <w:szCs w:val="21"/>
                                  <w:lang w:eastAsia="es-CO"/>
                                </w:rPr>
                                <w:t>Nombre</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183B58">
                              <w:pPr>
                                <w:spacing w:after="0" w:line="240" w:lineRule="auto"/>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AUDITORIA INTERNA PROCESO EMISION Y TRANSMISION 2016</w:t>
                              </w:r>
                            </w:p>
                          </w:tc>
                          <w:tc>
                            <w:tcPr>
                              <w:tcW w:w="0" w:type="auto"/>
                              <w:tcBorders>
                                <w:top w:val="single" w:sz="6" w:space="0" w:color="CCCCCC"/>
                                <w:left w:val="single" w:sz="6" w:space="0" w:color="CCCCCC"/>
                                <w:bottom w:val="single" w:sz="6" w:space="0" w:color="CCCCCC"/>
                                <w:right w:val="single" w:sz="6" w:space="0" w:color="CCCCCC"/>
                              </w:tcBorders>
                              <w:noWrap/>
                              <w:tcMar>
                                <w:top w:w="75" w:type="dxa"/>
                                <w:left w:w="75" w:type="dxa"/>
                                <w:bottom w:w="75" w:type="dxa"/>
                                <w:right w:w="75" w:type="dxa"/>
                              </w:tcMar>
                              <w:vAlign w:val="center"/>
                              <w:hideMark/>
                            </w:tcPr>
                            <w:p w:rsidR="00183B58" w:rsidRPr="00183B58" w:rsidRDefault="00183B58" w:rsidP="00183B58">
                              <w:pPr>
                                <w:spacing w:after="0" w:line="240" w:lineRule="auto"/>
                                <w:jc w:val="right"/>
                                <w:rPr>
                                  <w:rFonts w:ascii="Trebuchet MS" w:eastAsia="Times New Roman" w:hAnsi="Trebuchet MS" w:cs="Times New Roman"/>
                                  <w:color w:val="666666"/>
                                  <w:sz w:val="21"/>
                                  <w:szCs w:val="21"/>
                                  <w:lang w:eastAsia="es-CO"/>
                                </w:rPr>
                              </w:pPr>
                              <w:r w:rsidRPr="00183B58">
                                <w:rPr>
                                  <w:rFonts w:ascii="Trebuchet MS" w:eastAsia="Times New Roman" w:hAnsi="Trebuchet MS" w:cs="Times New Roman"/>
                                  <w:b/>
                                  <w:bCs/>
                                  <w:color w:val="333333"/>
                                  <w:sz w:val="21"/>
                                  <w:szCs w:val="21"/>
                                  <w:lang w:eastAsia="es-CO"/>
                                </w:rPr>
                                <w:t>Auditor Líder</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183B58">
                              <w:pPr>
                                <w:spacing w:after="0" w:line="240" w:lineRule="auto"/>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Oscar Julian Ayala S</w:t>
                              </w:r>
                              <w:r w:rsidR="00A13D47">
                                <w:rPr>
                                  <w:rFonts w:ascii="Trebuchet MS" w:eastAsia="Times New Roman" w:hAnsi="Trebuchet MS" w:cs="Times New Roman"/>
                                  <w:color w:val="666666"/>
                                  <w:sz w:val="20"/>
                                  <w:szCs w:val="20"/>
                                  <w:lang w:eastAsia="es-CO"/>
                                </w:rPr>
                                <w:t>i</w:t>
                              </w:r>
                              <w:r w:rsidRPr="00183B58">
                                <w:rPr>
                                  <w:rFonts w:ascii="Trebuchet MS" w:eastAsia="Times New Roman" w:hAnsi="Trebuchet MS" w:cs="Times New Roman"/>
                                  <w:color w:val="666666"/>
                                  <w:sz w:val="20"/>
                                  <w:szCs w:val="20"/>
                                  <w:lang w:eastAsia="es-CO"/>
                                </w:rPr>
                                <w:t>erra</w:t>
                              </w:r>
                            </w:p>
                          </w:tc>
                        </w:tr>
                        <w:tr w:rsidR="00183B58" w:rsidRPr="00183B58">
                          <w:trPr>
                            <w:tblCellSpacing w:w="0" w:type="dxa"/>
                          </w:trPr>
                          <w:tc>
                            <w:tcPr>
                              <w:tcW w:w="0" w:type="auto"/>
                              <w:tcBorders>
                                <w:top w:val="single" w:sz="6" w:space="0" w:color="CCCCCC"/>
                                <w:left w:val="single" w:sz="6" w:space="0" w:color="CCCCCC"/>
                                <w:bottom w:val="single" w:sz="6" w:space="0" w:color="CCCCCC"/>
                                <w:right w:val="single" w:sz="6" w:space="0" w:color="CCCCCC"/>
                              </w:tcBorders>
                              <w:noWrap/>
                              <w:tcMar>
                                <w:top w:w="75" w:type="dxa"/>
                                <w:left w:w="75" w:type="dxa"/>
                                <w:bottom w:w="75" w:type="dxa"/>
                                <w:right w:w="75" w:type="dxa"/>
                              </w:tcMar>
                              <w:vAlign w:val="center"/>
                              <w:hideMark/>
                            </w:tcPr>
                            <w:p w:rsidR="00183B58" w:rsidRPr="00183B58" w:rsidRDefault="00183B58" w:rsidP="00183B58">
                              <w:pPr>
                                <w:spacing w:after="0" w:line="240" w:lineRule="auto"/>
                                <w:jc w:val="right"/>
                                <w:rPr>
                                  <w:rFonts w:ascii="Trebuchet MS" w:eastAsia="Times New Roman" w:hAnsi="Trebuchet MS" w:cs="Times New Roman"/>
                                  <w:color w:val="666666"/>
                                  <w:sz w:val="21"/>
                                  <w:szCs w:val="21"/>
                                  <w:lang w:eastAsia="es-CO"/>
                                </w:rPr>
                              </w:pPr>
                              <w:r w:rsidRPr="00183B58">
                                <w:rPr>
                                  <w:rFonts w:ascii="Trebuchet MS" w:eastAsia="Times New Roman" w:hAnsi="Trebuchet MS" w:cs="Times New Roman"/>
                                  <w:b/>
                                  <w:bCs/>
                                  <w:color w:val="333333"/>
                                  <w:sz w:val="21"/>
                                  <w:szCs w:val="21"/>
                                  <w:lang w:eastAsia="es-CO"/>
                                </w:rPr>
                                <w:t>Acta de Apertura</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26502D" w:rsidP="00183B58">
                              <w:pPr>
                                <w:spacing w:after="0" w:line="240" w:lineRule="auto"/>
                                <w:rPr>
                                  <w:rFonts w:ascii="Trebuchet MS" w:eastAsia="Times New Roman" w:hAnsi="Trebuchet MS" w:cs="Times New Roman"/>
                                  <w:color w:val="666666"/>
                                  <w:sz w:val="20"/>
                                  <w:szCs w:val="20"/>
                                  <w:lang w:eastAsia="es-CO"/>
                                </w:rPr>
                              </w:pPr>
                              <w:hyperlink r:id="rId5" w:history="1">
                                <w:r w:rsidR="00183B58" w:rsidRPr="00183B58">
                                  <w:rPr>
                                    <w:rFonts w:ascii="Trebuchet MS" w:eastAsia="Times New Roman" w:hAnsi="Trebuchet MS" w:cs="Times New Roman"/>
                                    <w:color w:val="0A4282"/>
                                    <w:sz w:val="18"/>
                                    <w:szCs w:val="18"/>
                                    <w:u w:val="single"/>
                                    <w:lang w:eastAsia="es-CO"/>
                                  </w:rPr>
                                  <w:t>Acta de Reunión</w:t>
                                </w:r>
                              </w:hyperlink>
                            </w:p>
                          </w:tc>
                          <w:tc>
                            <w:tcPr>
                              <w:tcW w:w="0" w:type="auto"/>
                              <w:tcBorders>
                                <w:top w:val="single" w:sz="6" w:space="0" w:color="CCCCCC"/>
                                <w:left w:val="single" w:sz="6" w:space="0" w:color="CCCCCC"/>
                                <w:bottom w:val="single" w:sz="6" w:space="0" w:color="CCCCCC"/>
                                <w:right w:val="single" w:sz="6" w:space="0" w:color="CCCCCC"/>
                              </w:tcBorders>
                              <w:noWrap/>
                              <w:tcMar>
                                <w:top w:w="75" w:type="dxa"/>
                                <w:left w:w="75" w:type="dxa"/>
                                <w:bottom w:w="75" w:type="dxa"/>
                                <w:right w:w="75" w:type="dxa"/>
                              </w:tcMar>
                              <w:vAlign w:val="center"/>
                              <w:hideMark/>
                            </w:tcPr>
                            <w:p w:rsidR="00183B58" w:rsidRPr="00183B58" w:rsidRDefault="00183B58" w:rsidP="00183B58">
                              <w:pPr>
                                <w:spacing w:after="0" w:line="240" w:lineRule="auto"/>
                                <w:jc w:val="right"/>
                                <w:rPr>
                                  <w:rFonts w:ascii="Trebuchet MS" w:eastAsia="Times New Roman" w:hAnsi="Trebuchet MS" w:cs="Times New Roman"/>
                                  <w:color w:val="666666"/>
                                  <w:sz w:val="21"/>
                                  <w:szCs w:val="21"/>
                                  <w:lang w:eastAsia="es-CO"/>
                                </w:rPr>
                              </w:pPr>
                              <w:r w:rsidRPr="00183B58">
                                <w:rPr>
                                  <w:rFonts w:ascii="Trebuchet MS" w:eastAsia="Times New Roman" w:hAnsi="Trebuchet MS" w:cs="Times New Roman"/>
                                  <w:b/>
                                  <w:bCs/>
                                  <w:color w:val="333333"/>
                                  <w:sz w:val="21"/>
                                  <w:szCs w:val="21"/>
                                  <w:lang w:eastAsia="es-CO"/>
                                </w:rPr>
                                <w:t>Acta de Cierre</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26502D" w:rsidP="00183B58">
                              <w:pPr>
                                <w:spacing w:after="0" w:line="240" w:lineRule="auto"/>
                                <w:rPr>
                                  <w:rFonts w:ascii="Trebuchet MS" w:eastAsia="Times New Roman" w:hAnsi="Trebuchet MS" w:cs="Times New Roman"/>
                                  <w:color w:val="666666"/>
                                  <w:sz w:val="20"/>
                                  <w:szCs w:val="20"/>
                                  <w:lang w:eastAsia="es-CO"/>
                                </w:rPr>
                              </w:pPr>
                              <w:hyperlink r:id="rId6" w:history="1">
                                <w:r w:rsidR="00183B58" w:rsidRPr="00183B58">
                                  <w:rPr>
                                    <w:rFonts w:ascii="Trebuchet MS" w:eastAsia="Times New Roman" w:hAnsi="Trebuchet MS" w:cs="Times New Roman"/>
                                    <w:color w:val="0A4282"/>
                                    <w:sz w:val="18"/>
                                    <w:szCs w:val="18"/>
                                    <w:u w:val="single"/>
                                    <w:lang w:eastAsia="es-CO"/>
                                  </w:rPr>
                                  <w:t>Acta de Reunión</w:t>
                                </w:r>
                              </w:hyperlink>
                              <w:bookmarkStart w:id="0" w:name="_GoBack"/>
                              <w:bookmarkEnd w:id="0"/>
                            </w:p>
                          </w:tc>
                        </w:tr>
                        <w:tr w:rsidR="00183B58" w:rsidRPr="00183B58">
                          <w:trPr>
                            <w:tblCellSpacing w:w="0" w:type="dxa"/>
                          </w:trPr>
                          <w:tc>
                            <w:tcPr>
                              <w:tcW w:w="0" w:type="auto"/>
                              <w:tcBorders>
                                <w:top w:val="single" w:sz="6" w:space="0" w:color="CCCCCC"/>
                                <w:left w:val="single" w:sz="6" w:space="0" w:color="CCCCCC"/>
                                <w:bottom w:val="single" w:sz="6" w:space="0" w:color="CCCCCC"/>
                                <w:right w:val="single" w:sz="6" w:space="0" w:color="CCCCCC"/>
                              </w:tcBorders>
                              <w:noWrap/>
                              <w:tcMar>
                                <w:top w:w="75" w:type="dxa"/>
                                <w:left w:w="75" w:type="dxa"/>
                                <w:bottom w:w="75" w:type="dxa"/>
                                <w:right w:w="75" w:type="dxa"/>
                              </w:tcMar>
                              <w:vAlign w:val="center"/>
                              <w:hideMark/>
                            </w:tcPr>
                            <w:p w:rsidR="00183B58" w:rsidRPr="00183B58" w:rsidRDefault="00183B58" w:rsidP="00183B58">
                              <w:pPr>
                                <w:spacing w:after="0" w:line="240" w:lineRule="auto"/>
                                <w:jc w:val="center"/>
                                <w:rPr>
                                  <w:rFonts w:ascii="Trebuchet MS" w:eastAsia="Times New Roman" w:hAnsi="Trebuchet MS" w:cs="Times New Roman"/>
                                  <w:color w:val="666666"/>
                                  <w:sz w:val="21"/>
                                  <w:szCs w:val="21"/>
                                  <w:lang w:eastAsia="es-CO"/>
                                </w:rPr>
                              </w:pPr>
                              <w:r w:rsidRPr="00183B58">
                                <w:rPr>
                                  <w:rFonts w:ascii="Trebuchet MS" w:eastAsia="Times New Roman" w:hAnsi="Trebuchet MS" w:cs="Times New Roman"/>
                                  <w:b/>
                                  <w:bCs/>
                                  <w:color w:val="333333"/>
                                  <w:sz w:val="21"/>
                                  <w:szCs w:val="21"/>
                                  <w:lang w:eastAsia="es-CO"/>
                                </w:rPr>
                                <w:t>Procesos</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183B58">
                              <w:pPr>
                                <w:spacing w:after="0" w:line="240" w:lineRule="auto"/>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b/>
                                  <w:bCs/>
                                  <w:color w:val="666666"/>
                                  <w:sz w:val="20"/>
                                  <w:szCs w:val="20"/>
                                  <w:lang w:eastAsia="es-CO"/>
                                </w:rPr>
                                <w:t>1-</w:t>
                              </w:r>
                              <w:r w:rsidRPr="00183B58">
                                <w:rPr>
                                  <w:rFonts w:ascii="Trebuchet MS" w:eastAsia="Times New Roman" w:hAnsi="Trebuchet MS" w:cs="Times New Roman"/>
                                  <w:color w:val="666666"/>
                                  <w:sz w:val="20"/>
                                  <w:szCs w:val="20"/>
                                  <w:lang w:eastAsia="es-CO"/>
                                </w:rPr>
                                <w:t> Emisión y Transmisión</w:t>
                              </w:r>
                            </w:p>
                          </w:tc>
                          <w:tc>
                            <w:tcPr>
                              <w:tcW w:w="0" w:type="auto"/>
                              <w:tcBorders>
                                <w:top w:val="single" w:sz="6" w:space="0" w:color="CCCCCC"/>
                                <w:left w:val="single" w:sz="6" w:space="0" w:color="CCCCCC"/>
                                <w:bottom w:val="single" w:sz="6" w:space="0" w:color="CCCCCC"/>
                                <w:right w:val="single" w:sz="6" w:space="0" w:color="CCCCCC"/>
                              </w:tcBorders>
                              <w:noWrap/>
                              <w:tcMar>
                                <w:top w:w="75" w:type="dxa"/>
                                <w:left w:w="75" w:type="dxa"/>
                                <w:bottom w:w="75" w:type="dxa"/>
                                <w:right w:w="75" w:type="dxa"/>
                              </w:tcMar>
                              <w:vAlign w:val="center"/>
                              <w:hideMark/>
                            </w:tcPr>
                            <w:p w:rsidR="00183B58" w:rsidRPr="00183B58" w:rsidRDefault="00183B58" w:rsidP="00183B58">
                              <w:pPr>
                                <w:spacing w:after="0" w:line="240" w:lineRule="auto"/>
                                <w:jc w:val="center"/>
                                <w:rPr>
                                  <w:rFonts w:ascii="Trebuchet MS" w:eastAsia="Times New Roman" w:hAnsi="Trebuchet MS" w:cs="Times New Roman"/>
                                  <w:color w:val="666666"/>
                                  <w:sz w:val="21"/>
                                  <w:szCs w:val="21"/>
                                  <w:lang w:eastAsia="es-CO"/>
                                </w:rPr>
                              </w:pPr>
                              <w:r w:rsidRPr="00183B58">
                                <w:rPr>
                                  <w:rFonts w:ascii="Trebuchet MS" w:eastAsia="Times New Roman" w:hAnsi="Trebuchet MS" w:cs="Times New Roman"/>
                                  <w:b/>
                                  <w:bCs/>
                                  <w:color w:val="333333"/>
                                  <w:sz w:val="21"/>
                                  <w:szCs w:val="21"/>
                                  <w:lang w:eastAsia="es-CO"/>
                                </w:rPr>
                                <w:t>Sedes</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183B58">
                              <w:pPr>
                                <w:spacing w:after="0" w:line="240" w:lineRule="auto"/>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b/>
                                  <w:bCs/>
                                  <w:color w:val="666666"/>
                                  <w:sz w:val="20"/>
                                  <w:szCs w:val="20"/>
                                  <w:lang w:eastAsia="es-CO"/>
                                </w:rPr>
                                <w:t>1-</w:t>
                              </w:r>
                              <w:r w:rsidRPr="00183B58">
                                <w:rPr>
                                  <w:rFonts w:ascii="Trebuchet MS" w:eastAsia="Times New Roman" w:hAnsi="Trebuchet MS" w:cs="Times New Roman"/>
                                  <w:color w:val="666666"/>
                                  <w:sz w:val="20"/>
                                  <w:szCs w:val="20"/>
                                  <w:lang w:eastAsia="es-CO"/>
                                </w:rPr>
                                <w:t> RTVC - Sistema de Medios Públicos</w:t>
                              </w:r>
                            </w:p>
                          </w:tc>
                        </w:tr>
                        <w:tr w:rsidR="00183B58" w:rsidRPr="00183B58">
                          <w:trPr>
                            <w:tblCellSpacing w:w="0" w:type="dxa"/>
                          </w:trPr>
                          <w:tc>
                            <w:tcPr>
                              <w:tcW w:w="0" w:type="auto"/>
                              <w:tcBorders>
                                <w:top w:val="single" w:sz="6" w:space="0" w:color="CCCCCC"/>
                                <w:left w:val="single" w:sz="6" w:space="0" w:color="CCCCCC"/>
                                <w:bottom w:val="single" w:sz="6" w:space="0" w:color="CCCCCC"/>
                                <w:right w:val="single" w:sz="6" w:space="0" w:color="CCCCCC"/>
                              </w:tcBorders>
                              <w:noWrap/>
                              <w:tcMar>
                                <w:top w:w="75" w:type="dxa"/>
                                <w:left w:w="75" w:type="dxa"/>
                                <w:bottom w:w="75" w:type="dxa"/>
                                <w:right w:w="75" w:type="dxa"/>
                              </w:tcMar>
                              <w:vAlign w:val="center"/>
                              <w:hideMark/>
                            </w:tcPr>
                            <w:p w:rsidR="00183B58" w:rsidRPr="00183B58" w:rsidRDefault="00183B58" w:rsidP="00183B58">
                              <w:pPr>
                                <w:spacing w:after="0" w:line="240" w:lineRule="auto"/>
                                <w:jc w:val="center"/>
                                <w:rPr>
                                  <w:rFonts w:ascii="Trebuchet MS" w:eastAsia="Times New Roman" w:hAnsi="Trebuchet MS" w:cs="Times New Roman"/>
                                  <w:color w:val="666666"/>
                                  <w:sz w:val="21"/>
                                  <w:szCs w:val="21"/>
                                  <w:lang w:eastAsia="es-CO"/>
                                </w:rPr>
                              </w:pPr>
                              <w:r w:rsidRPr="00183B58">
                                <w:rPr>
                                  <w:rFonts w:ascii="Trebuchet MS" w:eastAsia="Times New Roman" w:hAnsi="Trebuchet MS" w:cs="Times New Roman"/>
                                  <w:b/>
                                  <w:bCs/>
                                  <w:color w:val="333333"/>
                                  <w:sz w:val="21"/>
                                  <w:szCs w:val="21"/>
                                  <w:lang w:eastAsia="es-CO"/>
                                </w:rPr>
                                <w:t>Objetivo</w:t>
                              </w:r>
                            </w:p>
                          </w:tc>
                          <w:tc>
                            <w:tcPr>
                              <w:tcW w:w="0" w:type="auto"/>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183B58">
                              <w:pPr>
                                <w:spacing w:after="0" w:line="240" w:lineRule="auto"/>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Verificar el cumplimiento a la planificación, gestión y mantenimiento de la infraestructura tecnológica de la operación para la emisión y transmisión de la prestación del servicio de radio y televisión.</w:t>
                              </w:r>
                            </w:p>
                          </w:tc>
                        </w:tr>
                        <w:tr w:rsidR="00183B58" w:rsidRPr="00183B58">
                          <w:trPr>
                            <w:tblCellSpacing w:w="0" w:type="dxa"/>
                          </w:trPr>
                          <w:tc>
                            <w:tcPr>
                              <w:tcW w:w="0" w:type="auto"/>
                              <w:tcBorders>
                                <w:top w:val="single" w:sz="6" w:space="0" w:color="CCCCCC"/>
                                <w:left w:val="single" w:sz="6" w:space="0" w:color="CCCCCC"/>
                                <w:bottom w:val="single" w:sz="6" w:space="0" w:color="CCCCCC"/>
                                <w:right w:val="single" w:sz="6" w:space="0" w:color="CCCCCC"/>
                              </w:tcBorders>
                              <w:noWrap/>
                              <w:tcMar>
                                <w:top w:w="75" w:type="dxa"/>
                                <w:left w:w="75" w:type="dxa"/>
                                <w:bottom w:w="75" w:type="dxa"/>
                                <w:right w:w="75" w:type="dxa"/>
                              </w:tcMar>
                              <w:vAlign w:val="center"/>
                              <w:hideMark/>
                            </w:tcPr>
                            <w:p w:rsidR="00183B58" w:rsidRPr="00183B58" w:rsidRDefault="00183B58" w:rsidP="00183B58">
                              <w:pPr>
                                <w:spacing w:after="0" w:line="240" w:lineRule="auto"/>
                                <w:jc w:val="center"/>
                                <w:rPr>
                                  <w:rFonts w:ascii="Trebuchet MS" w:eastAsia="Times New Roman" w:hAnsi="Trebuchet MS" w:cs="Times New Roman"/>
                                  <w:color w:val="666666"/>
                                  <w:sz w:val="21"/>
                                  <w:szCs w:val="21"/>
                                  <w:lang w:eastAsia="es-CO"/>
                                </w:rPr>
                              </w:pPr>
                              <w:r w:rsidRPr="00183B58">
                                <w:rPr>
                                  <w:rFonts w:ascii="Trebuchet MS" w:eastAsia="Times New Roman" w:hAnsi="Trebuchet MS" w:cs="Times New Roman"/>
                                  <w:b/>
                                  <w:bCs/>
                                  <w:color w:val="333333"/>
                                  <w:sz w:val="21"/>
                                  <w:szCs w:val="21"/>
                                  <w:lang w:eastAsia="es-CO"/>
                                </w:rPr>
                                <w:t>Alcance</w:t>
                              </w:r>
                            </w:p>
                          </w:tc>
                          <w:tc>
                            <w:tcPr>
                              <w:tcW w:w="0" w:type="auto"/>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183B58">
                              <w:pPr>
                                <w:spacing w:after="0" w:line="240" w:lineRule="auto"/>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Verificar la información del proceso según los criterios de auditoria en el periodo comprendido entre octubre del 2015 a mayo 2016.</w:t>
                              </w:r>
                            </w:p>
                          </w:tc>
                        </w:tr>
                      </w:tbl>
                      <w:p w:rsidR="00183B58" w:rsidRPr="00183B58" w:rsidRDefault="00183B58" w:rsidP="00183B58">
                        <w:pPr>
                          <w:spacing w:after="240" w:line="240" w:lineRule="auto"/>
                          <w:rPr>
                            <w:rFonts w:ascii="Verdana" w:eastAsia="Times New Roman" w:hAnsi="Verdana" w:cs="Times New Roman"/>
                            <w:sz w:val="15"/>
                            <w:szCs w:val="15"/>
                            <w:lang w:eastAsia="es-CO"/>
                          </w:rPr>
                        </w:pPr>
                      </w:p>
                    </w:tc>
                  </w:tr>
                  <w:tr w:rsidR="00183B58" w:rsidRPr="00183B58">
                    <w:trPr>
                      <w:tblCellSpacing w:w="0" w:type="dxa"/>
                    </w:trPr>
                    <w:tc>
                      <w:tcPr>
                        <w:tcW w:w="0" w:type="auto"/>
                        <w:tcBorders>
                          <w:top w:val="single" w:sz="2" w:space="0" w:color="000000"/>
                          <w:left w:val="single" w:sz="2" w:space="0" w:color="000000"/>
                          <w:bottom w:val="single" w:sz="2" w:space="0" w:color="000000"/>
                          <w:right w:val="single" w:sz="2" w:space="0" w:color="000000"/>
                        </w:tcBorders>
                        <w:vAlign w:val="center"/>
                        <w:hideMark/>
                      </w:tcPr>
                      <w:p w:rsidR="00183B58" w:rsidRPr="00183B58" w:rsidRDefault="00183B58" w:rsidP="00B404E3">
                        <w:pPr>
                          <w:spacing w:line="240" w:lineRule="auto"/>
                          <w:jc w:val="center"/>
                          <w:rPr>
                            <w:rFonts w:ascii="Trebuchet MS" w:eastAsia="Times New Roman" w:hAnsi="Trebuchet MS" w:cs="Times New Roman"/>
                            <w:b/>
                            <w:bCs/>
                            <w:caps/>
                            <w:color w:val="918F8B"/>
                            <w:sz w:val="20"/>
                            <w:szCs w:val="20"/>
                            <w:lang w:eastAsia="es-CO"/>
                          </w:rPr>
                        </w:pPr>
                        <w:r w:rsidRPr="00183B58">
                          <w:rPr>
                            <w:rFonts w:ascii="Trebuchet MS" w:eastAsia="Times New Roman" w:hAnsi="Trebuchet MS" w:cs="Times New Roman"/>
                            <w:b/>
                            <w:bCs/>
                            <w:caps/>
                            <w:color w:val="918F8B"/>
                            <w:sz w:val="20"/>
                            <w:szCs w:val="20"/>
                            <w:lang w:eastAsia="es-CO"/>
                          </w:rPr>
                          <w:t>RESUMEN DE HALLAZGOS</w:t>
                        </w:r>
                      </w:p>
                    </w:tc>
                  </w:tr>
                  <w:tr w:rsidR="00183B58" w:rsidRPr="00183B58">
                    <w:trPr>
                      <w:tblCellSpacing w:w="0" w:type="dxa"/>
                    </w:trPr>
                    <w:tc>
                      <w:tcPr>
                        <w:tcW w:w="0" w:type="auto"/>
                        <w:tcBorders>
                          <w:top w:val="single" w:sz="2" w:space="0" w:color="000000"/>
                          <w:left w:val="single" w:sz="2" w:space="0" w:color="000000"/>
                          <w:bottom w:val="single" w:sz="2" w:space="0" w:color="000000"/>
                          <w:right w:val="single" w:sz="2" w:space="0" w:color="000000"/>
                        </w:tcBorders>
                        <w:vAlign w:val="center"/>
                        <w:hideMark/>
                      </w:tcPr>
                      <w:p w:rsidR="00183B58" w:rsidRPr="00183B58" w:rsidRDefault="00183B58" w:rsidP="00183B58">
                        <w:pPr>
                          <w:spacing w:after="0" w:line="240" w:lineRule="auto"/>
                          <w:jc w:val="center"/>
                          <w:rPr>
                            <w:rFonts w:ascii="Verdana" w:eastAsia="Times New Roman" w:hAnsi="Verdana" w:cs="Times New Roman"/>
                            <w:sz w:val="15"/>
                            <w:szCs w:val="15"/>
                            <w:lang w:eastAsia="es-CO"/>
                          </w:rPr>
                        </w:pPr>
                      </w:p>
                      <w:tbl>
                        <w:tblPr>
                          <w:tblW w:w="45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02"/>
                          <w:gridCol w:w="1715"/>
                          <w:gridCol w:w="2106"/>
                          <w:gridCol w:w="1654"/>
                        </w:tblGrid>
                        <w:tr w:rsidR="00183B58" w:rsidRPr="00183B58">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D7D8DA"/>
                              <w:tcMar>
                                <w:top w:w="75" w:type="dxa"/>
                                <w:left w:w="75" w:type="dxa"/>
                                <w:bottom w:w="75" w:type="dxa"/>
                                <w:right w:w="75" w:type="dxa"/>
                              </w:tcMar>
                              <w:vAlign w:val="center"/>
                              <w:hideMark/>
                            </w:tcPr>
                            <w:p w:rsidR="00183B58" w:rsidRPr="00183B58" w:rsidRDefault="00183B58" w:rsidP="00183B58">
                              <w:pPr>
                                <w:spacing w:after="0" w:line="240" w:lineRule="auto"/>
                                <w:jc w:val="center"/>
                                <w:rPr>
                                  <w:rFonts w:ascii="Trebuchet MS" w:eastAsia="Times New Roman" w:hAnsi="Trebuchet MS" w:cs="Times New Roman"/>
                                  <w:b/>
                                  <w:bCs/>
                                  <w:color w:val="000000"/>
                                  <w:sz w:val="20"/>
                                  <w:szCs w:val="20"/>
                                  <w:lang w:eastAsia="es-CO"/>
                                </w:rPr>
                              </w:pPr>
                              <w:r w:rsidRPr="00183B58">
                                <w:rPr>
                                  <w:rFonts w:ascii="Trebuchet MS" w:eastAsia="Times New Roman" w:hAnsi="Trebuchet MS" w:cs="Times New Roman"/>
                                  <w:b/>
                                  <w:bCs/>
                                  <w:color w:val="333333"/>
                                  <w:sz w:val="20"/>
                                  <w:szCs w:val="20"/>
                                  <w:lang w:eastAsia="es-CO"/>
                                </w:rPr>
                                <w:t>Proceso</w:t>
                              </w:r>
                            </w:p>
                          </w:tc>
                          <w:tc>
                            <w:tcPr>
                              <w:tcW w:w="0" w:type="auto"/>
                              <w:tcBorders>
                                <w:top w:val="single" w:sz="6" w:space="0" w:color="CCCCCC"/>
                                <w:left w:val="single" w:sz="6" w:space="0" w:color="CCCCCC"/>
                                <w:bottom w:val="single" w:sz="6" w:space="0" w:color="CCCCCC"/>
                                <w:right w:val="single" w:sz="6" w:space="0" w:color="CCCCCC"/>
                              </w:tcBorders>
                              <w:shd w:val="clear" w:color="auto" w:fill="D7D8DA"/>
                              <w:tcMar>
                                <w:top w:w="75" w:type="dxa"/>
                                <w:left w:w="75" w:type="dxa"/>
                                <w:bottom w:w="75" w:type="dxa"/>
                                <w:right w:w="75" w:type="dxa"/>
                              </w:tcMar>
                              <w:vAlign w:val="center"/>
                              <w:hideMark/>
                            </w:tcPr>
                            <w:p w:rsidR="00183B58" w:rsidRPr="00183B58" w:rsidRDefault="00183B58" w:rsidP="00183B58">
                              <w:pPr>
                                <w:spacing w:after="0" w:line="240" w:lineRule="auto"/>
                                <w:jc w:val="center"/>
                                <w:rPr>
                                  <w:rFonts w:ascii="Trebuchet MS" w:eastAsia="Times New Roman" w:hAnsi="Trebuchet MS" w:cs="Times New Roman"/>
                                  <w:b/>
                                  <w:bCs/>
                                  <w:color w:val="000000"/>
                                  <w:sz w:val="20"/>
                                  <w:szCs w:val="20"/>
                                  <w:lang w:eastAsia="es-CO"/>
                                </w:rPr>
                              </w:pPr>
                              <w:r w:rsidRPr="00183B58">
                                <w:rPr>
                                  <w:rFonts w:ascii="Trebuchet MS" w:eastAsia="Times New Roman" w:hAnsi="Trebuchet MS" w:cs="Times New Roman"/>
                                  <w:b/>
                                  <w:bCs/>
                                  <w:color w:val="333333"/>
                                  <w:sz w:val="20"/>
                                  <w:szCs w:val="20"/>
                                  <w:lang w:eastAsia="es-CO"/>
                                </w:rPr>
                                <w:t>Conformidad</w:t>
                              </w:r>
                            </w:p>
                          </w:tc>
                          <w:tc>
                            <w:tcPr>
                              <w:tcW w:w="0" w:type="auto"/>
                              <w:tcBorders>
                                <w:top w:val="single" w:sz="6" w:space="0" w:color="CCCCCC"/>
                                <w:left w:val="single" w:sz="6" w:space="0" w:color="CCCCCC"/>
                                <w:bottom w:val="single" w:sz="6" w:space="0" w:color="CCCCCC"/>
                                <w:right w:val="single" w:sz="6" w:space="0" w:color="CCCCCC"/>
                              </w:tcBorders>
                              <w:shd w:val="clear" w:color="auto" w:fill="D7D8DA"/>
                              <w:tcMar>
                                <w:top w:w="75" w:type="dxa"/>
                                <w:left w:w="75" w:type="dxa"/>
                                <w:bottom w:w="75" w:type="dxa"/>
                                <w:right w:w="75" w:type="dxa"/>
                              </w:tcMar>
                              <w:vAlign w:val="center"/>
                              <w:hideMark/>
                            </w:tcPr>
                            <w:p w:rsidR="00183B58" w:rsidRPr="00183B58" w:rsidRDefault="00183B58" w:rsidP="00183B58">
                              <w:pPr>
                                <w:spacing w:after="0" w:line="240" w:lineRule="auto"/>
                                <w:jc w:val="center"/>
                                <w:rPr>
                                  <w:rFonts w:ascii="Trebuchet MS" w:eastAsia="Times New Roman" w:hAnsi="Trebuchet MS" w:cs="Times New Roman"/>
                                  <w:b/>
                                  <w:bCs/>
                                  <w:color w:val="000000"/>
                                  <w:sz w:val="20"/>
                                  <w:szCs w:val="20"/>
                                  <w:lang w:eastAsia="es-CO"/>
                                </w:rPr>
                              </w:pPr>
                              <w:r w:rsidRPr="00183B58">
                                <w:rPr>
                                  <w:rFonts w:ascii="Trebuchet MS" w:eastAsia="Times New Roman" w:hAnsi="Trebuchet MS" w:cs="Times New Roman"/>
                                  <w:b/>
                                  <w:bCs/>
                                  <w:color w:val="333333"/>
                                  <w:sz w:val="20"/>
                                  <w:szCs w:val="20"/>
                                  <w:lang w:eastAsia="es-CO"/>
                                </w:rPr>
                                <w:t>No Conformidad</w:t>
                              </w:r>
                            </w:p>
                          </w:tc>
                          <w:tc>
                            <w:tcPr>
                              <w:tcW w:w="0" w:type="auto"/>
                              <w:tcBorders>
                                <w:top w:val="single" w:sz="6" w:space="0" w:color="CCCCCC"/>
                                <w:left w:val="single" w:sz="6" w:space="0" w:color="CCCCCC"/>
                                <w:bottom w:val="single" w:sz="6" w:space="0" w:color="CCCCCC"/>
                                <w:right w:val="single" w:sz="6" w:space="0" w:color="CCCCCC"/>
                              </w:tcBorders>
                              <w:shd w:val="clear" w:color="auto" w:fill="D7D8DA"/>
                              <w:tcMar>
                                <w:top w:w="75" w:type="dxa"/>
                                <w:left w:w="75" w:type="dxa"/>
                                <w:bottom w:w="75" w:type="dxa"/>
                                <w:right w:w="75" w:type="dxa"/>
                              </w:tcMar>
                              <w:vAlign w:val="center"/>
                              <w:hideMark/>
                            </w:tcPr>
                            <w:p w:rsidR="00183B58" w:rsidRPr="00183B58" w:rsidRDefault="00183B58" w:rsidP="00183B58">
                              <w:pPr>
                                <w:spacing w:after="0" w:line="240" w:lineRule="auto"/>
                                <w:jc w:val="center"/>
                                <w:rPr>
                                  <w:rFonts w:ascii="Trebuchet MS" w:eastAsia="Times New Roman" w:hAnsi="Trebuchet MS" w:cs="Times New Roman"/>
                                  <w:b/>
                                  <w:bCs/>
                                  <w:color w:val="000000"/>
                                  <w:sz w:val="20"/>
                                  <w:szCs w:val="20"/>
                                  <w:lang w:eastAsia="es-CO"/>
                                </w:rPr>
                              </w:pPr>
                              <w:r w:rsidRPr="00183B58">
                                <w:rPr>
                                  <w:rFonts w:ascii="Trebuchet MS" w:eastAsia="Times New Roman" w:hAnsi="Trebuchet MS" w:cs="Times New Roman"/>
                                  <w:b/>
                                  <w:bCs/>
                                  <w:color w:val="333333"/>
                                  <w:sz w:val="20"/>
                                  <w:szCs w:val="20"/>
                                  <w:lang w:eastAsia="es-CO"/>
                                </w:rPr>
                                <w:t>Observación</w:t>
                              </w:r>
                            </w:p>
                          </w:tc>
                        </w:tr>
                        <w:tr w:rsidR="00183B58" w:rsidRPr="00183B58">
                          <w:trPr>
                            <w:jc w:val="center"/>
                          </w:trPr>
                          <w:tc>
                            <w:tcPr>
                              <w:tcW w:w="0" w:type="auto"/>
                              <w:tcBorders>
                                <w:top w:val="single" w:sz="6" w:space="0" w:color="CCCCCC"/>
                                <w:left w:val="single" w:sz="6" w:space="0" w:color="CCCCCC"/>
                                <w:bottom w:val="single" w:sz="6" w:space="0" w:color="CCCCCC"/>
                                <w:right w:val="single" w:sz="6" w:space="0" w:color="CCCCCC"/>
                              </w:tcBorders>
                              <w:noWrap/>
                              <w:tcMar>
                                <w:top w:w="75" w:type="dxa"/>
                                <w:left w:w="75" w:type="dxa"/>
                                <w:bottom w:w="75" w:type="dxa"/>
                                <w:right w:w="75" w:type="dxa"/>
                              </w:tcMar>
                              <w:vAlign w:val="center"/>
                              <w:hideMark/>
                            </w:tcPr>
                            <w:p w:rsidR="00183B58" w:rsidRPr="00183B58" w:rsidRDefault="00183B58" w:rsidP="00183B58">
                              <w:pPr>
                                <w:spacing w:after="0" w:line="240" w:lineRule="auto"/>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Emisión y Transmisión</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183B58">
                              <w:pPr>
                                <w:spacing w:after="0" w:line="240" w:lineRule="auto"/>
                                <w:jc w:val="center"/>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183B58">
                              <w:pPr>
                                <w:spacing w:after="0" w:line="240" w:lineRule="auto"/>
                                <w:jc w:val="center"/>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9</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183B58">
                              <w:pPr>
                                <w:spacing w:after="0" w:line="240" w:lineRule="auto"/>
                                <w:jc w:val="center"/>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2</w:t>
                              </w:r>
                            </w:p>
                          </w:tc>
                        </w:tr>
                        <w:tr w:rsidR="00183B58" w:rsidRPr="00183B58">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D7D8DA"/>
                              <w:tcMar>
                                <w:top w:w="75" w:type="dxa"/>
                                <w:left w:w="75" w:type="dxa"/>
                                <w:bottom w:w="75" w:type="dxa"/>
                                <w:right w:w="75" w:type="dxa"/>
                              </w:tcMar>
                              <w:vAlign w:val="center"/>
                              <w:hideMark/>
                            </w:tcPr>
                            <w:p w:rsidR="00183B58" w:rsidRPr="00183B58" w:rsidRDefault="00183B58" w:rsidP="00183B58">
                              <w:pPr>
                                <w:spacing w:after="0" w:line="240" w:lineRule="auto"/>
                                <w:jc w:val="center"/>
                                <w:rPr>
                                  <w:rFonts w:ascii="Trebuchet MS" w:eastAsia="Times New Roman" w:hAnsi="Trebuchet MS" w:cs="Times New Roman"/>
                                  <w:b/>
                                  <w:bCs/>
                                  <w:color w:val="000000"/>
                                  <w:sz w:val="20"/>
                                  <w:szCs w:val="20"/>
                                  <w:lang w:eastAsia="es-CO"/>
                                </w:rPr>
                              </w:pPr>
                              <w:r w:rsidRPr="00183B58">
                                <w:rPr>
                                  <w:rFonts w:ascii="Trebuchet MS" w:eastAsia="Times New Roman" w:hAnsi="Trebuchet MS" w:cs="Times New Roman"/>
                                  <w:b/>
                                  <w:bCs/>
                                  <w:color w:val="333333"/>
                                  <w:sz w:val="20"/>
                                  <w:szCs w:val="20"/>
                                  <w:lang w:eastAsia="es-CO"/>
                                </w:rPr>
                                <w:t>Total</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183B58">
                              <w:pPr>
                                <w:spacing w:after="0" w:line="240" w:lineRule="auto"/>
                                <w:jc w:val="center"/>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b/>
                                  <w:bCs/>
                                  <w:color w:val="333333"/>
                                  <w:sz w:val="20"/>
                                  <w:szCs w:val="20"/>
                                  <w:lang w:eastAsia="es-CO"/>
                                </w:rPr>
                                <w:t>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183B58">
                              <w:pPr>
                                <w:spacing w:after="0" w:line="240" w:lineRule="auto"/>
                                <w:jc w:val="center"/>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b/>
                                  <w:bCs/>
                                  <w:color w:val="333333"/>
                                  <w:sz w:val="20"/>
                                  <w:szCs w:val="20"/>
                                  <w:lang w:eastAsia="es-CO"/>
                                </w:rPr>
                                <w:t>9</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183B58">
                              <w:pPr>
                                <w:spacing w:after="0" w:line="240" w:lineRule="auto"/>
                                <w:jc w:val="center"/>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b/>
                                  <w:bCs/>
                                  <w:color w:val="333333"/>
                                  <w:sz w:val="20"/>
                                  <w:szCs w:val="20"/>
                                  <w:lang w:eastAsia="es-CO"/>
                                </w:rPr>
                                <w:t>2</w:t>
                              </w:r>
                            </w:p>
                          </w:tc>
                        </w:tr>
                      </w:tbl>
                      <w:p w:rsidR="00183B58" w:rsidRPr="00183B58" w:rsidRDefault="00183B58" w:rsidP="00183B58">
                        <w:pPr>
                          <w:spacing w:after="0" w:line="240" w:lineRule="auto"/>
                          <w:jc w:val="center"/>
                          <w:rPr>
                            <w:rFonts w:ascii="Verdana" w:eastAsia="Times New Roman" w:hAnsi="Verdana" w:cs="Times New Roman"/>
                            <w:sz w:val="15"/>
                            <w:szCs w:val="15"/>
                            <w:lang w:eastAsia="es-CO"/>
                          </w:rPr>
                        </w:pPr>
                      </w:p>
                    </w:tc>
                  </w:tr>
                  <w:tr w:rsidR="00183B58" w:rsidRPr="00183B58">
                    <w:trPr>
                      <w:tblCellSpacing w:w="0" w:type="dxa"/>
                    </w:trPr>
                    <w:tc>
                      <w:tcPr>
                        <w:tcW w:w="0" w:type="auto"/>
                        <w:tcBorders>
                          <w:top w:val="single" w:sz="2" w:space="0" w:color="000000"/>
                          <w:left w:val="single" w:sz="2" w:space="0" w:color="000000"/>
                          <w:bottom w:val="single" w:sz="2" w:space="0" w:color="000000"/>
                          <w:right w:val="single" w:sz="2" w:space="0" w:color="000000"/>
                        </w:tcBorders>
                        <w:vAlign w:val="center"/>
                        <w:hideMark/>
                      </w:tcPr>
                      <w:p w:rsidR="00183B58" w:rsidRPr="00183B58" w:rsidRDefault="00183B58" w:rsidP="00B404E3">
                        <w:pPr>
                          <w:spacing w:line="240" w:lineRule="auto"/>
                          <w:jc w:val="center"/>
                          <w:rPr>
                            <w:rFonts w:ascii="Trebuchet MS" w:eastAsia="Times New Roman" w:hAnsi="Trebuchet MS" w:cs="Times New Roman"/>
                            <w:b/>
                            <w:bCs/>
                            <w:caps/>
                            <w:color w:val="918F8B"/>
                            <w:sz w:val="20"/>
                            <w:szCs w:val="20"/>
                            <w:lang w:eastAsia="es-CO"/>
                          </w:rPr>
                        </w:pPr>
                        <w:r w:rsidRPr="00183B58">
                          <w:rPr>
                            <w:rFonts w:ascii="Trebuchet MS" w:eastAsia="Times New Roman" w:hAnsi="Trebuchet MS" w:cs="Times New Roman"/>
                            <w:b/>
                            <w:bCs/>
                            <w:caps/>
                            <w:color w:val="918F8B"/>
                            <w:sz w:val="20"/>
                            <w:szCs w:val="20"/>
                            <w:lang w:eastAsia="es-CO"/>
                          </w:rPr>
                          <w:t>DETALLE DE HALLAZGOS</w:t>
                        </w:r>
                      </w:p>
                    </w:tc>
                  </w:tr>
                  <w:tr w:rsidR="00183B58" w:rsidRPr="00183B58">
                    <w:trPr>
                      <w:tblCellSpacing w:w="0" w:type="dxa"/>
                    </w:trPr>
                    <w:tc>
                      <w:tcPr>
                        <w:tcW w:w="0" w:type="auto"/>
                        <w:tcBorders>
                          <w:top w:val="single" w:sz="2" w:space="0" w:color="000000"/>
                          <w:left w:val="single" w:sz="2" w:space="0" w:color="000000"/>
                          <w:bottom w:val="single" w:sz="2" w:space="0" w:color="000000"/>
                          <w:right w:val="single" w:sz="2" w:space="0" w:color="000000"/>
                        </w:tcBorders>
                        <w:vAlign w:val="center"/>
                        <w:hideMark/>
                      </w:tcPr>
                      <w:p w:rsidR="00183B58" w:rsidRPr="00183B58" w:rsidRDefault="00183B58" w:rsidP="00183B58">
                        <w:pPr>
                          <w:spacing w:after="0" w:line="240" w:lineRule="auto"/>
                          <w:rPr>
                            <w:rFonts w:ascii="Verdana" w:eastAsia="Times New Roman" w:hAnsi="Verdana" w:cs="Times New Roman"/>
                            <w:sz w:val="15"/>
                            <w:szCs w:val="15"/>
                            <w:lang w:eastAsia="es-CO"/>
                          </w:rPr>
                        </w:pPr>
                      </w:p>
                    </w:tc>
                  </w:tr>
                  <w:tr w:rsidR="00183B58" w:rsidRPr="00183B58">
                    <w:trPr>
                      <w:tblCellSpacing w:w="0" w:type="dxa"/>
                    </w:trPr>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880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50"/>
                          <w:gridCol w:w="1245"/>
                          <w:gridCol w:w="1656"/>
                          <w:gridCol w:w="1297"/>
                          <w:gridCol w:w="3456"/>
                        </w:tblGrid>
                        <w:tr w:rsidR="00183B58" w:rsidRPr="00183B58" w:rsidTr="00B404E3">
                          <w:tc>
                            <w:tcPr>
                              <w:tcW w:w="1150" w:type="dxa"/>
                              <w:tcBorders>
                                <w:top w:val="single" w:sz="6" w:space="0" w:color="CCCCCC"/>
                                <w:left w:val="single" w:sz="6" w:space="0" w:color="CCCCCC"/>
                                <w:bottom w:val="single" w:sz="6" w:space="0" w:color="CCCCCC"/>
                                <w:right w:val="single" w:sz="6" w:space="0" w:color="CCCCCC"/>
                              </w:tcBorders>
                              <w:shd w:val="clear" w:color="auto" w:fill="D7D8DA"/>
                              <w:tcMar>
                                <w:top w:w="75" w:type="dxa"/>
                                <w:left w:w="75" w:type="dxa"/>
                                <w:bottom w:w="75" w:type="dxa"/>
                                <w:right w:w="75" w:type="dxa"/>
                              </w:tcMar>
                              <w:vAlign w:val="center"/>
                              <w:hideMark/>
                            </w:tcPr>
                            <w:p w:rsidR="00183B58" w:rsidRPr="00183B58" w:rsidRDefault="00183B58" w:rsidP="00183B58">
                              <w:pPr>
                                <w:spacing w:after="0" w:line="240" w:lineRule="auto"/>
                                <w:jc w:val="center"/>
                                <w:rPr>
                                  <w:rFonts w:ascii="Trebuchet MS" w:eastAsia="Times New Roman" w:hAnsi="Trebuchet MS" w:cs="Times New Roman"/>
                                  <w:b/>
                                  <w:bCs/>
                                  <w:color w:val="000000"/>
                                  <w:sz w:val="20"/>
                                  <w:szCs w:val="20"/>
                                  <w:lang w:eastAsia="es-CO"/>
                                </w:rPr>
                              </w:pPr>
                              <w:r w:rsidRPr="00183B58">
                                <w:rPr>
                                  <w:rFonts w:ascii="Trebuchet MS" w:eastAsia="Times New Roman" w:hAnsi="Trebuchet MS" w:cs="Times New Roman"/>
                                  <w:b/>
                                  <w:bCs/>
                                  <w:color w:val="000000"/>
                                  <w:sz w:val="20"/>
                                  <w:szCs w:val="20"/>
                                  <w:lang w:eastAsia="es-CO"/>
                                </w:rPr>
                                <w:t>Sedes</w:t>
                              </w:r>
                            </w:p>
                          </w:tc>
                          <w:tc>
                            <w:tcPr>
                              <w:tcW w:w="1245" w:type="dxa"/>
                              <w:tcBorders>
                                <w:top w:val="single" w:sz="6" w:space="0" w:color="CCCCCC"/>
                                <w:left w:val="single" w:sz="6" w:space="0" w:color="CCCCCC"/>
                                <w:bottom w:val="single" w:sz="6" w:space="0" w:color="CCCCCC"/>
                                <w:right w:val="single" w:sz="6" w:space="0" w:color="CCCCCC"/>
                              </w:tcBorders>
                              <w:shd w:val="clear" w:color="auto" w:fill="D7D8DA"/>
                              <w:tcMar>
                                <w:top w:w="75" w:type="dxa"/>
                                <w:left w:w="75" w:type="dxa"/>
                                <w:bottom w:w="75" w:type="dxa"/>
                                <w:right w:w="75" w:type="dxa"/>
                              </w:tcMar>
                              <w:vAlign w:val="center"/>
                              <w:hideMark/>
                            </w:tcPr>
                            <w:p w:rsidR="00183B58" w:rsidRPr="00183B58" w:rsidRDefault="00183B58" w:rsidP="00183B58">
                              <w:pPr>
                                <w:spacing w:after="0" w:line="240" w:lineRule="auto"/>
                                <w:jc w:val="center"/>
                                <w:rPr>
                                  <w:rFonts w:ascii="Trebuchet MS" w:eastAsia="Times New Roman" w:hAnsi="Trebuchet MS" w:cs="Times New Roman"/>
                                  <w:b/>
                                  <w:bCs/>
                                  <w:color w:val="000000"/>
                                  <w:sz w:val="20"/>
                                  <w:szCs w:val="20"/>
                                  <w:lang w:eastAsia="es-CO"/>
                                </w:rPr>
                              </w:pPr>
                              <w:r w:rsidRPr="00183B58">
                                <w:rPr>
                                  <w:rFonts w:ascii="Trebuchet MS" w:eastAsia="Times New Roman" w:hAnsi="Trebuchet MS" w:cs="Times New Roman"/>
                                  <w:b/>
                                  <w:bCs/>
                                  <w:color w:val="000000"/>
                                  <w:sz w:val="20"/>
                                  <w:szCs w:val="20"/>
                                  <w:lang w:eastAsia="es-CO"/>
                                </w:rPr>
                                <w:t>Proceso</w:t>
                              </w:r>
                            </w:p>
                          </w:tc>
                          <w:tc>
                            <w:tcPr>
                              <w:tcW w:w="1656" w:type="dxa"/>
                              <w:tcBorders>
                                <w:top w:val="single" w:sz="6" w:space="0" w:color="CCCCCC"/>
                                <w:left w:val="single" w:sz="6" w:space="0" w:color="CCCCCC"/>
                                <w:bottom w:val="single" w:sz="6" w:space="0" w:color="CCCCCC"/>
                                <w:right w:val="single" w:sz="6" w:space="0" w:color="CCCCCC"/>
                              </w:tcBorders>
                              <w:shd w:val="clear" w:color="auto" w:fill="D7D8DA"/>
                              <w:tcMar>
                                <w:top w:w="75" w:type="dxa"/>
                                <w:left w:w="75" w:type="dxa"/>
                                <w:bottom w:w="75" w:type="dxa"/>
                                <w:right w:w="75" w:type="dxa"/>
                              </w:tcMar>
                              <w:vAlign w:val="center"/>
                              <w:hideMark/>
                            </w:tcPr>
                            <w:p w:rsidR="00183B58" w:rsidRPr="00183B58" w:rsidRDefault="00183B58" w:rsidP="00183B58">
                              <w:pPr>
                                <w:spacing w:after="0" w:line="240" w:lineRule="auto"/>
                                <w:jc w:val="center"/>
                                <w:rPr>
                                  <w:rFonts w:ascii="Trebuchet MS" w:eastAsia="Times New Roman" w:hAnsi="Trebuchet MS" w:cs="Times New Roman"/>
                                  <w:b/>
                                  <w:bCs/>
                                  <w:color w:val="000000"/>
                                  <w:sz w:val="20"/>
                                  <w:szCs w:val="20"/>
                                  <w:lang w:eastAsia="es-CO"/>
                                </w:rPr>
                              </w:pPr>
                              <w:r w:rsidRPr="00183B58">
                                <w:rPr>
                                  <w:rFonts w:ascii="Trebuchet MS" w:eastAsia="Times New Roman" w:hAnsi="Trebuchet MS" w:cs="Times New Roman"/>
                                  <w:b/>
                                  <w:bCs/>
                                  <w:color w:val="000000"/>
                                  <w:sz w:val="20"/>
                                  <w:szCs w:val="20"/>
                                  <w:lang w:eastAsia="es-CO"/>
                                </w:rPr>
                                <w:t>Requisito</w:t>
                              </w:r>
                            </w:p>
                          </w:tc>
                          <w:tc>
                            <w:tcPr>
                              <w:tcW w:w="1297" w:type="dxa"/>
                              <w:tcBorders>
                                <w:top w:val="single" w:sz="6" w:space="0" w:color="CCCCCC"/>
                                <w:left w:val="single" w:sz="6" w:space="0" w:color="CCCCCC"/>
                                <w:bottom w:val="single" w:sz="6" w:space="0" w:color="CCCCCC"/>
                                <w:right w:val="single" w:sz="6" w:space="0" w:color="CCCCCC"/>
                              </w:tcBorders>
                              <w:shd w:val="clear" w:color="auto" w:fill="D7D8DA"/>
                              <w:tcMar>
                                <w:top w:w="75" w:type="dxa"/>
                                <w:left w:w="75" w:type="dxa"/>
                                <w:bottom w:w="75" w:type="dxa"/>
                                <w:right w:w="75" w:type="dxa"/>
                              </w:tcMar>
                              <w:vAlign w:val="center"/>
                              <w:hideMark/>
                            </w:tcPr>
                            <w:p w:rsidR="00183B58" w:rsidRPr="00183B58" w:rsidRDefault="00183B58" w:rsidP="00183B58">
                              <w:pPr>
                                <w:spacing w:after="0" w:line="240" w:lineRule="auto"/>
                                <w:jc w:val="center"/>
                                <w:rPr>
                                  <w:rFonts w:ascii="Trebuchet MS" w:eastAsia="Times New Roman" w:hAnsi="Trebuchet MS" w:cs="Times New Roman"/>
                                  <w:b/>
                                  <w:bCs/>
                                  <w:color w:val="000000"/>
                                  <w:sz w:val="20"/>
                                  <w:szCs w:val="20"/>
                                  <w:lang w:eastAsia="es-CO"/>
                                </w:rPr>
                              </w:pPr>
                              <w:r w:rsidRPr="00183B58">
                                <w:rPr>
                                  <w:rFonts w:ascii="Trebuchet MS" w:eastAsia="Times New Roman" w:hAnsi="Trebuchet MS" w:cs="Times New Roman"/>
                                  <w:b/>
                                  <w:bCs/>
                                  <w:color w:val="000000"/>
                                  <w:sz w:val="20"/>
                                  <w:szCs w:val="20"/>
                                  <w:lang w:eastAsia="es-CO"/>
                                </w:rPr>
                                <w:t>Tipo</w:t>
                              </w:r>
                            </w:p>
                          </w:tc>
                          <w:tc>
                            <w:tcPr>
                              <w:tcW w:w="3456" w:type="dxa"/>
                              <w:tcBorders>
                                <w:top w:val="single" w:sz="6" w:space="0" w:color="CCCCCC"/>
                                <w:left w:val="single" w:sz="6" w:space="0" w:color="CCCCCC"/>
                                <w:bottom w:val="single" w:sz="6" w:space="0" w:color="CCCCCC"/>
                                <w:right w:val="single" w:sz="6" w:space="0" w:color="CCCCCC"/>
                              </w:tcBorders>
                              <w:shd w:val="clear" w:color="auto" w:fill="D7D8DA"/>
                              <w:tcMar>
                                <w:top w:w="75" w:type="dxa"/>
                                <w:left w:w="75" w:type="dxa"/>
                                <w:bottom w:w="75" w:type="dxa"/>
                                <w:right w:w="75" w:type="dxa"/>
                              </w:tcMar>
                              <w:vAlign w:val="center"/>
                              <w:hideMark/>
                            </w:tcPr>
                            <w:p w:rsidR="00183B58" w:rsidRPr="00183B58" w:rsidRDefault="00183B58" w:rsidP="00183B58">
                              <w:pPr>
                                <w:spacing w:after="0" w:line="240" w:lineRule="auto"/>
                                <w:jc w:val="center"/>
                                <w:rPr>
                                  <w:rFonts w:ascii="Trebuchet MS" w:eastAsia="Times New Roman" w:hAnsi="Trebuchet MS" w:cs="Times New Roman"/>
                                  <w:b/>
                                  <w:bCs/>
                                  <w:color w:val="000000"/>
                                  <w:sz w:val="20"/>
                                  <w:szCs w:val="20"/>
                                  <w:lang w:eastAsia="es-CO"/>
                                </w:rPr>
                              </w:pPr>
                              <w:r w:rsidRPr="00183B58">
                                <w:rPr>
                                  <w:rFonts w:ascii="Trebuchet MS" w:eastAsia="Times New Roman" w:hAnsi="Trebuchet MS" w:cs="Times New Roman"/>
                                  <w:b/>
                                  <w:bCs/>
                                  <w:color w:val="000000"/>
                                  <w:sz w:val="20"/>
                                  <w:szCs w:val="20"/>
                                  <w:lang w:eastAsia="es-CO"/>
                                </w:rPr>
                                <w:t>Hallazgo</w:t>
                              </w:r>
                            </w:p>
                          </w:tc>
                        </w:tr>
                        <w:tr w:rsidR="00183B58" w:rsidRPr="00183B58" w:rsidTr="00B404E3">
                          <w:tc>
                            <w:tcPr>
                              <w:tcW w:w="11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A13D47">
                              <w:pPr>
                                <w:spacing w:after="0" w:line="240" w:lineRule="auto"/>
                                <w:jc w:val="right"/>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RTVC - Sistema de Medios Públicos</w:t>
                              </w:r>
                            </w:p>
                          </w:tc>
                          <w:tc>
                            <w:tcPr>
                              <w:tcW w:w="124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183B58">
                              <w:pPr>
                                <w:spacing w:after="0" w:line="240" w:lineRule="auto"/>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Emisión y Transmisión</w:t>
                              </w:r>
                            </w:p>
                          </w:tc>
                          <w:tc>
                            <w:tcPr>
                              <w:tcW w:w="1656"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183B58">
                              <w:pPr>
                                <w:spacing w:after="0" w:line="240" w:lineRule="auto"/>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Normatividad del Proceso</w:t>
                              </w:r>
                            </w:p>
                          </w:tc>
                          <w:tc>
                            <w:tcPr>
                              <w:tcW w:w="1297"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183B58">
                              <w:pPr>
                                <w:spacing w:after="0" w:line="240" w:lineRule="auto"/>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No Conformidad</w:t>
                              </w:r>
                            </w:p>
                          </w:tc>
                          <w:tc>
                            <w:tcPr>
                              <w:tcW w:w="3456"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413596">
                              <w:pPr>
                                <w:spacing w:after="0" w:line="240" w:lineRule="auto"/>
                                <w:jc w:val="both"/>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El estudio emplea como bitácora un registro digital almacenado en google Drive, documento que al ser verificado contiene tan solo cuatro (4) registros respecto a lo corrido del año 2015 y 2016, de igual forma no coinciden los registros con la información reportada en la hoja de vida del estudio que es alimentada por la Dirección de Tecnologías, lo cual genera incertidumbre en los registros de información del estudio.</w:t>
                              </w:r>
                              <w:r w:rsidRPr="00183B58">
                                <w:rPr>
                                  <w:rFonts w:ascii="Trebuchet MS" w:eastAsia="Times New Roman" w:hAnsi="Trebuchet MS" w:cs="Times New Roman"/>
                                  <w:color w:val="666666"/>
                                  <w:sz w:val="20"/>
                                  <w:szCs w:val="20"/>
                                  <w:lang w:eastAsia="es-CO"/>
                                </w:rPr>
                                <w:br/>
                              </w:r>
                              <w:r w:rsidRPr="00183B58">
                                <w:rPr>
                                  <w:rFonts w:ascii="Trebuchet MS" w:eastAsia="Times New Roman" w:hAnsi="Trebuchet MS" w:cs="Times New Roman"/>
                                  <w:color w:val="666666"/>
                                  <w:sz w:val="20"/>
                                  <w:szCs w:val="20"/>
                                  <w:lang w:eastAsia="es-CO"/>
                                </w:rPr>
                                <w:br/>
                                <w:t>De igual forma, se observa que existen documentos de apoyo con formato obsoleto respecto al Sistema de Gestión de Calidad. El formato de Hoja de vida tiene el logo de Señal Colombia Sistema de Medios Públicos (logo obsoleto) y no tiene: código de formato, nombre de proceso y fecha de actualización. Incumpliendo con el procedimiento de control de documentos del SGC.</w:t>
                              </w:r>
                            </w:p>
                          </w:tc>
                        </w:tr>
                        <w:tr w:rsidR="00183B58" w:rsidRPr="00183B58" w:rsidTr="00B404E3">
                          <w:tc>
                            <w:tcPr>
                              <w:tcW w:w="1150" w:type="dxa"/>
                              <w:tcBorders>
                                <w:top w:val="single" w:sz="6" w:space="0" w:color="CCCCCC"/>
                                <w:left w:val="single" w:sz="6" w:space="0" w:color="CCCCCC"/>
                                <w:bottom w:val="single" w:sz="6" w:space="0" w:color="CCCCCC"/>
                                <w:right w:val="single" w:sz="6" w:space="0" w:color="CCCCCC"/>
                              </w:tcBorders>
                              <w:shd w:val="clear" w:color="auto" w:fill="E5E5E5"/>
                              <w:tcMar>
                                <w:top w:w="75" w:type="dxa"/>
                                <w:left w:w="75" w:type="dxa"/>
                                <w:bottom w:w="75" w:type="dxa"/>
                                <w:right w:w="75" w:type="dxa"/>
                              </w:tcMar>
                              <w:vAlign w:val="center"/>
                              <w:hideMark/>
                            </w:tcPr>
                            <w:p w:rsidR="00183B58" w:rsidRPr="00183B58" w:rsidRDefault="00183B58" w:rsidP="00A13D47">
                              <w:pPr>
                                <w:spacing w:after="0" w:line="240" w:lineRule="auto"/>
                                <w:jc w:val="right"/>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RTVC - Sistema de Medios Públicos</w:t>
                              </w:r>
                            </w:p>
                          </w:tc>
                          <w:tc>
                            <w:tcPr>
                              <w:tcW w:w="1245" w:type="dxa"/>
                              <w:tcBorders>
                                <w:top w:val="single" w:sz="6" w:space="0" w:color="CCCCCC"/>
                                <w:left w:val="single" w:sz="6" w:space="0" w:color="CCCCCC"/>
                                <w:bottom w:val="single" w:sz="6" w:space="0" w:color="CCCCCC"/>
                                <w:right w:val="single" w:sz="6" w:space="0" w:color="CCCCCC"/>
                              </w:tcBorders>
                              <w:shd w:val="clear" w:color="auto" w:fill="E5E5E5"/>
                              <w:tcMar>
                                <w:top w:w="75" w:type="dxa"/>
                                <w:left w:w="75" w:type="dxa"/>
                                <w:bottom w:w="75" w:type="dxa"/>
                                <w:right w:w="75" w:type="dxa"/>
                              </w:tcMar>
                              <w:vAlign w:val="center"/>
                              <w:hideMark/>
                            </w:tcPr>
                            <w:p w:rsidR="00183B58" w:rsidRPr="00183B58" w:rsidRDefault="00183B58" w:rsidP="00183B58">
                              <w:pPr>
                                <w:spacing w:after="0" w:line="240" w:lineRule="auto"/>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Emisión y Transmisión</w:t>
                              </w:r>
                            </w:p>
                          </w:tc>
                          <w:tc>
                            <w:tcPr>
                              <w:tcW w:w="1656" w:type="dxa"/>
                              <w:tcBorders>
                                <w:top w:val="single" w:sz="6" w:space="0" w:color="CCCCCC"/>
                                <w:left w:val="single" w:sz="6" w:space="0" w:color="CCCCCC"/>
                                <w:bottom w:val="single" w:sz="6" w:space="0" w:color="CCCCCC"/>
                                <w:right w:val="single" w:sz="6" w:space="0" w:color="CCCCCC"/>
                              </w:tcBorders>
                              <w:shd w:val="clear" w:color="auto" w:fill="E5E5E5"/>
                              <w:tcMar>
                                <w:top w:w="75" w:type="dxa"/>
                                <w:left w:w="75" w:type="dxa"/>
                                <w:bottom w:w="75" w:type="dxa"/>
                                <w:right w:w="75" w:type="dxa"/>
                              </w:tcMar>
                              <w:vAlign w:val="center"/>
                              <w:hideMark/>
                            </w:tcPr>
                            <w:p w:rsidR="00183B58" w:rsidRPr="00183B58" w:rsidRDefault="00183B58" w:rsidP="00183B58">
                              <w:pPr>
                                <w:spacing w:after="0" w:line="240" w:lineRule="auto"/>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Normatividad del Proceso</w:t>
                              </w:r>
                            </w:p>
                          </w:tc>
                          <w:tc>
                            <w:tcPr>
                              <w:tcW w:w="1297" w:type="dxa"/>
                              <w:tcBorders>
                                <w:top w:val="single" w:sz="6" w:space="0" w:color="CCCCCC"/>
                                <w:left w:val="single" w:sz="6" w:space="0" w:color="CCCCCC"/>
                                <w:bottom w:val="single" w:sz="6" w:space="0" w:color="CCCCCC"/>
                                <w:right w:val="single" w:sz="6" w:space="0" w:color="CCCCCC"/>
                              </w:tcBorders>
                              <w:shd w:val="clear" w:color="auto" w:fill="E5E5E5"/>
                              <w:tcMar>
                                <w:top w:w="75" w:type="dxa"/>
                                <w:left w:w="75" w:type="dxa"/>
                                <w:bottom w:w="75" w:type="dxa"/>
                                <w:right w:w="75" w:type="dxa"/>
                              </w:tcMar>
                              <w:vAlign w:val="center"/>
                              <w:hideMark/>
                            </w:tcPr>
                            <w:p w:rsidR="00183B58" w:rsidRPr="00183B58" w:rsidRDefault="00183B58" w:rsidP="00183B58">
                              <w:pPr>
                                <w:spacing w:after="0" w:line="240" w:lineRule="auto"/>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No Conformidad</w:t>
                              </w:r>
                            </w:p>
                          </w:tc>
                          <w:tc>
                            <w:tcPr>
                              <w:tcW w:w="3456" w:type="dxa"/>
                              <w:tcBorders>
                                <w:top w:val="single" w:sz="6" w:space="0" w:color="CCCCCC"/>
                                <w:left w:val="single" w:sz="6" w:space="0" w:color="CCCCCC"/>
                                <w:bottom w:val="single" w:sz="6" w:space="0" w:color="CCCCCC"/>
                                <w:right w:val="single" w:sz="6" w:space="0" w:color="CCCCCC"/>
                              </w:tcBorders>
                              <w:shd w:val="clear" w:color="auto" w:fill="E5E5E5"/>
                              <w:tcMar>
                                <w:top w:w="75" w:type="dxa"/>
                                <w:left w:w="75" w:type="dxa"/>
                                <w:bottom w:w="75" w:type="dxa"/>
                                <w:right w:w="75" w:type="dxa"/>
                              </w:tcMar>
                              <w:vAlign w:val="center"/>
                              <w:hideMark/>
                            </w:tcPr>
                            <w:p w:rsidR="00183B58" w:rsidRPr="00183B58" w:rsidRDefault="00183B58" w:rsidP="00413596">
                              <w:pPr>
                                <w:spacing w:after="0" w:line="240" w:lineRule="auto"/>
                                <w:jc w:val="both"/>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Se debe realizar una verificación, evaluación y adecuación de las condiciones de integridad de los templetes que se usan para el sostenimiento de la torre de antenas de la Estación de Cerro Neiva (Huila), así como se debe realizar una adecuación civil sobre el sistema de agarre en tierra. Ya que se observa que uno de los templetes está desgastado parcialmente, y al verificar el sostenimiento que tienen estos templetes en tierra se observa que la tensión generada en piso es llevada a cabo por bultos rellenos de tierra.</w:t>
                              </w:r>
                              <w:r w:rsidRPr="00183B58">
                                <w:rPr>
                                  <w:rFonts w:ascii="Trebuchet MS" w:eastAsia="Times New Roman" w:hAnsi="Trebuchet MS" w:cs="Times New Roman"/>
                                  <w:color w:val="666666"/>
                                  <w:sz w:val="20"/>
                                  <w:szCs w:val="20"/>
                                  <w:lang w:eastAsia="es-CO"/>
                                </w:rPr>
                                <w:br/>
                              </w:r>
                              <w:r w:rsidRPr="00183B58">
                                <w:rPr>
                                  <w:rFonts w:ascii="Trebuchet MS" w:eastAsia="Times New Roman" w:hAnsi="Trebuchet MS" w:cs="Times New Roman"/>
                                  <w:color w:val="666666"/>
                                  <w:sz w:val="20"/>
                                  <w:szCs w:val="20"/>
                                  <w:lang w:eastAsia="es-CO"/>
                                </w:rPr>
                                <w:br/>
                                <w:t>Las anteriores condiciones demuestran que existe un alto riesgo para la infraestructura interior y aledaña, así como para personal interno (funcionarios BTESA) y externo (caso: Ejército Militar).</w:t>
                              </w:r>
                            </w:p>
                          </w:tc>
                        </w:tr>
                        <w:tr w:rsidR="00183B58" w:rsidRPr="00183B58" w:rsidTr="00B404E3">
                          <w:tc>
                            <w:tcPr>
                              <w:tcW w:w="11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A13D47">
                              <w:pPr>
                                <w:spacing w:after="0" w:line="240" w:lineRule="auto"/>
                                <w:jc w:val="right"/>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RTVC - Sistema de Medios Públicos</w:t>
                              </w:r>
                            </w:p>
                          </w:tc>
                          <w:tc>
                            <w:tcPr>
                              <w:tcW w:w="124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183B58">
                              <w:pPr>
                                <w:spacing w:after="0" w:line="240" w:lineRule="auto"/>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Emisión y Transmisión</w:t>
                              </w:r>
                            </w:p>
                          </w:tc>
                          <w:tc>
                            <w:tcPr>
                              <w:tcW w:w="1656"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183B58">
                              <w:pPr>
                                <w:spacing w:after="0" w:line="240" w:lineRule="auto"/>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Normatividad del Proceso</w:t>
                              </w:r>
                            </w:p>
                          </w:tc>
                          <w:tc>
                            <w:tcPr>
                              <w:tcW w:w="1297"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183B58">
                              <w:pPr>
                                <w:spacing w:after="0" w:line="240" w:lineRule="auto"/>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No Conformidad</w:t>
                              </w:r>
                            </w:p>
                          </w:tc>
                          <w:tc>
                            <w:tcPr>
                              <w:tcW w:w="3456"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413596">
                              <w:pPr>
                                <w:spacing w:after="0" w:line="240" w:lineRule="auto"/>
                                <w:jc w:val="both"/>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Los inventarios asignados para el funcionamiento del estudio descentralizado de radio de la ciudad de Bucaramanga, se encuentran conformados por 74 activos por valor de $262,103,430 millones de pesos y registrados a nombre del contratista Luis Carlos Pinzón Beltrán, según reporte realizado por la coordinación de servicios generales, al momento del seguimiento y verificación por parte del equipo auditor se evidencia, que los activos se encuentran actualmente localizados en tres (3) sitios según informa el contratista encargado (1) Calle 116 No. 31-69, (2) Centro de Bucaramanga casa de la contratista Eliana Ortiz y (3) Estación primaria de televisión y radio Lebrija.</w:t>
                              </w:r>
                              <w:r w:rsidRPr="00183B58">
                                <w:rPr>
                                  <w:rFonts w:ascii="Trebuchet MS" w:eastAsia="Times New Roman" w:hAnsi="Trebuchet MS" w:cs="Times New Roman"/>
                                  <w:color w:val="666666"/>
                                  <w:sz w:val="20"/>
                                  <w:szCs w:val="20"/>
                                  <w:lang w:eastAsia="es-CO"/>
                                </w:rPr>
                                <w:br/>
                                <w:t>Al solicitar al contratista una relación de los bienes para verificar su ubicación, se observa que no existe conocimiento por parte del responsable del inventario de cómo están distribuidos los bienes y/o activos que se encuentran actualmente en los tres (3) sitios nombrados anteriormente, lo que denota una falta de control en el manejo y custodia de los inventarios por parte del contratista y supervisor del contrato.</w:t>
                              </w:r>
                            </w:p>
                          </w:tc>
                        </w:tr>
                        <w:tr w:rsidR="00183B58" w:rsidRPr="00183B58" w:rsidTr="00B404E3">
                          <w:tc>
                            <w:tcPr>
                              <w:tcW w:w="1150" w:type="dxa"/>
                              <w:tcBorders>
                                <w:top w:val="single" w:sz="6" w:space="0" w:color="CCCCCC"/>
                                <w:left w:val="single" w:sz="6" w:space="0" w:color="CCCCCC"/>
                                <w:bottom w:val="single" w:sz="6" w:space="0" w:color="CCCCCC"/>
                                <w:right w:val="single" w:sz="6" w:space="0" w:color="CCCCCC"/>
                              </w:tcBorders>
                              <w:shd w:val="clear" w:color="auto" w:fill="E5E5E5"/>
                              <w:tcMar>
                                <w:top w:w="75" w:type="dxa"/>
                                <w:left w:w="75" w:type="dxa"/>
                                <w:bottom w:w="75" w:type="dxa"/>
                                <w:right w:w="75" w:type="dxa"/>
                              </w:tcMar>
                              <w:vAlign w:val="center"/>
                              <w:hideMark/>
                            </w:tcPr>
                            <w:p w:rsidR="00183B58" w:rsidRPr="00183B58" w:rsidRDefault="00183B58" w:rsidP="00A13D47">
                              <w:pPr>
                                <w:spacing w:after="0" w:line="240" w:lineRule="auto"/>
                                <w:jc w:val="right"/>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RTVC - Sistema de Medios Públicos</w:t>
                              </w:r>
                            </w:p>
                          </w:tc>
                          <w:tc>
                            <w:tcPr>
                              <w:tcW w:w="1245" w:type="dxa"/>
                              <w:tcBorders>
                                <w:top w:val="single" w:sz="6" w:space="0" w:color="CCCCCC"/>
                                <w:left w:val="single" w:sz="6" w:space="0" w:color="CCCCCC"/>
                                <w:bottom w:val="single" w:sz="6" w:space="0" w:color="CCCCCC"/>
                                <w:right w:val="single" w:sz="6" w:space="0" w:color="CCCCCC"/>
                              </w:tcBorders>
                              <w:shd w:val="clear" w:color="auto" w:fill="E5E5E5"/>
                              <w:tcMar>
                                <w:top w:w="75" w:type="dxa"/>
                                <w:left w:w="75" w:type="dxa"/>
                                <w:bottom w:w="75" w:type="dxa"/>
                                <w:right w:w="75" w:type="dxa"/>
                              </w:tcMar>
                              <w:vAlign w:val="center"/>
                              <w:hideMark/>
                            </w:tcPr>
                            <w:p w:rsidR="00183B58" w:rsidRPr="00183B58" w:rsidRDefault="00183B58" w:rsidP="00183B58">
                              <w:pPr>
                                <w:spacing w:after="0" w:line="240" w:lineRule="auto"/>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Emisión y Transmisión</w:t>
                              </w:r>
                            </w:p>
                          </w:tc>
                          <w:tc>
                            <w:tcPr>
                              <w:tcW w:w="1656" w:type="dxa"/>
                              <w:tcBorders>
                                <w:top w:val="single" w:sz="6" w:space="0" w:color="CCCCCC"/>
                                <w:left w:val="single" w:sz="6" w:space="0" w:color="CCCCCC"/>
                                <w:bottom w:val="single" w:sz="6" w:space="0" w:color="CCCCCC"/>
                                <w:right w:val="single" w:sz="6" w:space="0" w:color="CCCCCC"/>
                              </w:tcBorders>
                              <w:shd w:val="clear" w:color="auto" w:fill="E5E5E5"/>
                              <w:tcMar>
                                <w:top w:w="75" w:type="dxa"/>
                                <w:left w:w="75" w:type="dxa"/>
                                <w:bottom w:w="75" w:type="dxa"/>
                                <w:right w:w="75" w:type="dxa"/>
                              </w:tcMar>
                              <w:vAlign w:val="center"/>
                              <w:hideMark/>
                            </w:tcPr>
                            <w:p w:rsidR="00183B58" w:rsidRPr="00183B58" w:rsidRDefault="00183B58" w:rsidP="00183B58">
                              <w:pPr>
                                <w:spacing w:after="0" w:line="240" w:lineRule="auto"/>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Normatividad del Proceso</w:t>
                              </w:r>
                            </w:p>
                          </w:tc>
                          <w:tc>
                            <w:tcPr>
                              <w:tcW w:w="1297" w:type="dxa"/>
                              <w:tcBorders>
                                <w:top w:val="single" w:sz="6" w:space="0" w:color="CCCCCC"/>
                                <w:left w:val="single" w:sz="6" w:space="0" w:color="CCCCCC"/>
                                <w:bottom w:val="single" w:sz="6" w:space="0" w:color="CCCCCC"/>
                                <w:right w:val="single" w:sz="6" w:space="0" w:color="CCCCCC"/>
                              </w:tcBorders>
                              <w:shd w:val="clear" w:color="auto" w:fill="E5E5E5"/>
                              <w:tcMar>
                                <w:top w:w="75" w:type="dxa"/>
                                <w:left w:w="75" w:type="dxa"/>
                                <w:bottom w:w="75" w:type="dxa"/>
                                <w:right w:w="75" w:type="dxa"/>
                              </w:tcMar>
                              <w:vAlign w:val="center"/>
                              <w:hideMark/>
                            </w:tcPr>
                            <w:p w:rsidR="00183B58" w:rsidRPr="00183B58" w:rsidRDefault="00183B58" w:rsidP="00183B58">
                              <w:pPr>
                                <w:spacing w:after="0" w:line="240" w:lineRule="auto"/>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No Conformidad</w:t>
                              </w:r>
                            </w:p>
                          </w:tc>
                          <w:tc>
                            <w:tcPr>
                              <w:tcW w:w="3456" w:type="dxa"/>
                              <w:tcBorders>
                                <w:top w:val="single" w:sz="6" w:space="0" w:color="CCCCCC"/>
                                <w:left w:val="single" w:sz="6" w:space="0" w:color="CCCCCC"/>
                                <w:bottom w:val="single" w:sz="6" w:space="0" w:color="CCCCCC"/>
                                <w:right w:val="single" w:sz="6" w:space="0" w:color="CCCCCC"/>
                              </w:tcBorders>
                              <w:shd w:val="clear" w:color="auto" w:fill="E5E5E5"/>
                              <w:tcMar>
                                <w:top w:w="75" w:type="dxa"/>
                                <w:left w:w="75" w:type="dxa"/>
                                <w:bottom w:w="75" w:type="dxa"/>
                                <w:right w:w="75" w:type="dxa"/>
                              </w:tcMar>
                              <w:vAlign w:val="center"/>
                              <w:hideMark/>
                            </w:tcPr>
                            <w:p w:rsidR="00183B58" w:rsidRPr="00183B58" w:rsidRDefault="00183B58" w:rsidP="00413596">
                              <w:pPr>
                                <w:spacing w:after="0" w:line="240" w:lineRule="auto"/>
                                <w:jc w:val="both"/>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 xml:space="preserve">En todas las estaciones objeto de auditoría (Estaciones Cerro Neiva, Buenavista y Algeciras -Huila-), se evidencio el correcto nivel de potencia y operación de los equipos transmisores de televisión y radio, a excepción del transmisor de radio de la estación de Buenavista que está operando a un 50% de su capacidad a operar = 1Kw. En los registros de bitácoras se observa que el equipo está operando a 500 </w:t>
                              </w:r>
                              <w:proofErr w:type="spellStart"/>
                              <w:r w:rsidRPr="00183B58">
                                <w:rPr>
                                  <w:rFonts w:ascii="Trebuchet MS" w:eastAsia="Times New Roman" w:hAnsi="Trebuchet MS" w:cs="Times New Roman"/>
                                  <w:color w:val="666666"/>
                                  <w:sz w:val="20"/>
                                  <w:szCs w:val="20"/>
                                  <w:lang w:eastAsia="es-CO"/>
                                </w:rPr>
                                <w:t>watios</w:t>
                              </w:r>
                              <w:proofErr w:type="spellEnd"/>
                              <w:r w:rsidRPr="00183B58">
                                <w:rPr>
                                  <w:rFonts w:ascii="Trebuchet MS" w:eastAsia="Times New Roman" w:hAnsi="Trebuchet MS" w:cs="Times New Roman"/>
                                  <w:color w:val="666666"/>
                                  <w:sz w:val="20"/>
                                  <w:szCs w:val="20"/>
                                  <w:lang w:eastAsia="es-CO"/>
                                </w:rPr>
                                <w:t xml:space="preserve"> desde antes del inicio del actual contrato AOM (01/oct/2015). Lo cual demuestra que desde hace más de 6 meses se encuentra afectado el nivel de cubrimiento poblacional de la región del Huila bajo la frecuencia de 94.3Mhz de la Radio Nacional.</w:t>
                              </w:r>
                            </w:p>
                          </w:tc>
                        </w:tr>
                        <w:tr w:rsidR="00183B58" w:rsidRPr="00183B58" w:rsidTr="00B404E3">
                          <w:tc>
                            <w:tcPr>
                              <w:tcW w:w="11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A13D47">
                              <w:pPr>
                                <w:spacing w:after="0" w:line="240" w:lineRule="auto"/>
                                <w:jc w:val="right"/>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RTVC - Sistema de Medios Públicos</w:t>
                              </w:r>
                            </w:p>
                          </w:tc>
                          <w:tc>
                            <w:tcPr>
                              <w:tcW w:w="124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183B58">
                              <w:pPr>
                                <w:spacing w:after="0" w:line="240" w:lineRule="auto"/>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Emisión y Transmisión</w:t>
                              </w:r>
                            </w:p>
                          </w:tc>
                          <w:tc>
                            <w:tcPr>
                              <w:tcW w:w="1656"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183B58">
                              <w:pPr>
                                <w:spacing w:after="0" w:line="240" w:lineRule="auto"/>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Normatividad del Proceso</w:t>
                              </w:r>
                            </w:p>
                          </w:tc>
                          <w:tc>
                            <w:tcPr>
                              <w:tcW w:w="1297"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183B58">
                              <w:pPr>
                                <w:spacing w:after="0" w:line="240" w:lineRule="auto"/>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No Conformidad</w:t>
                              </w:r>
                            </w:p>
                          </w:tc>
                          <w:tc>
                            <w:tcPr>
                              <w:tcW w:w="3456"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413596">
                              <w:pPr>
                                <w:spacing w:after="0" w:line="240" w:lineRule="auto"/>
                                <w:jc w:val="both"/>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Al Verificar el cumplimiento al contrato suscrito entre la Academia de Historia de Santander y la empresa BTESA %u2013 BROAD TELECOM. (Contratista de la AOM), se observa por parte del equipo auditor, en la ejecución de las clausulas cuarta y quinta que citan lo siguiente;</w:t>
                              </w:r>
                              <w:r w:rsidRPr="00183B58">
                                <w:rPr>
                                  <w:rFonts w:ascii="Trebuchet MS" w:eastAsia="Times New Roman" w:hAnsi="Trebuchet MS" w:cs="Times New Roman"/>
                                  <w:color w:val="666666"/>
                                  <w:sz w:val="20"/>
                                  <w:szCs w:val="20"/>
                                  <w:lang w:eastAsia="es-CO"/>
                                </w:rPr>
                                <w:br/>
                                <w:t>CLAUSULA CUARTA: VALOR DEL CONTRATO Y CANON MENSUAL DE ARRENDAMIENTO, el valor total de arrendamiento por la suma de $27.500.000, con un canon de arrendamiento mensual de $2.500.000.</w:t>
                              </w:r>
                              <w:r w:rsidRPr="00183B58">
                                <w:rPr>
                                  <w:rFonts w:ascii="Trebuchet MS" w:eastAsia="Times New Roman" w:hAnsi="Trebuchet MS" w:cs="Times New Roman"/>
                                  <w:color w:val="666666"/>
                                  <w:sz w:val="20"/>
                                  <w:szCs w:val="20"/>
                                  <w:lang w:eastAsia="es-CO"/>
                                </w:rPr>
                                <w:br/>
                                <w:t>CLAUSULA QUINTA: FORMA DE PAGO, Un primer pago dentro de los cinco primeros días hábiles del mes de mayo, correspondientes a los meses de mayo, junio y julio 2016.</w:t>
                              </w:r>
                              <w:r w:rsidRPr="00183B58">
                                <w:rPr>
                                  <w:rFonts w:ascii="Trebuchet MS" w:eastAsia="Times New Roman" w:hAnsi="Trebuchet MS" w:cs="Times New Roman"/>
                                  <w:color w:val="666666"/>
                                  <w:sz w:val="20"/>
                                  <w:szCs w:val="20"/>
                                  <w:lang w:eastAsia="es-CO"/>
                                </w:rPr>
                                <w:br/>
                                <w:t>Por lo anterior se evidencia, que a la fecha de realizada la visita de auditoria 18 y 19 de mayo del 2016, no han iniciado las adecuaciones de infraestructura y/o locativas, para que funcionamiento el estudio descentralizado de radio en las instalaciones de la academia de historia de Santander.</w:t>
                              </w:r>
                            </w:p>
                          </w:tc>
                        </w:tr>
                        <w:tr w:rsidR="00183B58" w:rsidRPr="00183B58" w:rsidTr="00B404E3">
                          <w:tc>
                            <w:tcPr>
                              <w:tcW w:w="1150" w:type="dxa"/>
                              <w:tcBorders>
                                <w:top w:val="single" w:sz="6" w:space="0" w:color="CCCCCC"/>
                                <w:left w:val="single" w:sz="6" w:space="0" w:color="CCCCCC"/>
                                <w:bottom w:val="single" w:sz="6" w:space="0" w:color="CCCCCC"/>
                                <w:right w:val="single" w:sz="6" w:space="0" w:color="CCCCCC"/>
                              </w:tcBorders>
                              <w:shd w:val="clear" w:color="auto" w:fill="E5E5E5"/>
                              <w:tcMar>
                                <w:top w:w="75" w:type="dxa"/>
                                <w:left w:w="75" w:type="dxa"/>
                                <w:bottom w:w="75" w:type="dxa"/>
                                <w:right w:w="75" w:type="dxa"/>
                              </w:tcMar>
                              <w:vAlign w:val="center"/>
                              <w:hideMark/>
                            </w:tcPr>
                            <w:p w:rsidR="00183B58" w:rsidRPr="00183B58" w:rsidRDefault="00183B58" w:rsidP="00A13D47">
                              <w:pPr>
                                <w:spacing w:after="0" w:line="240" w:lineRule="auto"/>
                                <w:jc w:val="right"/>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RTVC - Sistema de Medios Públicos</w:t>
                              </w:r>
                            </w:p>
                          </w:tc>
                          <w:tc>
                            <w:tcPr>
                              <w:tcW w:w="1245" w:type="dxa"/>
                              <w:tcBorders>
                                <w:top w:val="single" w:sz="6" w:space="0" w:color="CCCCCC"/>
                                <w:left w:val="single" w:sz="6" w:space="0" w:color="CCCCCC"/>
                                <w:bottom w:val="single" w:sz="6" w:space="0" w:color="CCCCCC"/>
                                <w:right w:val="single" w:sz="6" w:space="0" w:color="CCCCCC"/>
                              </w:tcBorders>
                              <w:shd w:val="clear" w:color="auto" w:fill="E5E5E5"/>
                              <w:tcMar>
                                <w:top w:w="75" w:type="dxa"/>
                                <w:left w:w="75" w:type="dxa"/>
                                <w:bottom w:w="75" w:type="dxa"/>
                                <w:right w:w="75" w:type="dxa"/>
                              </w:tcMar>
                              <w:vAlign w:val="center"/>
                              <w:hideMark/>
                            </w:tcPr>
                            <w:p w:rsidR="00183B58" w:rsidRPr="00183B58" w:rsidRDefault="00183B58" w:rsidP="00183B58">
                              <w:pPr>
                                <w:spacing w:after="0" w:line="240" w:lineRule="auto"/>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Emisión y Transmisión</w:t>
                              </w:r>
                            </w:p>
                          </w:tc>
                          <w:tc>
                            <w:tcPr>
                              <w:tcW w:w="1656" w:type="dxa"/>
                              <w:tcBorders>
                                <w:top w:val="single" w:sz="6" w:space="0" w:color="CCCCCC"/>
                                <w:left w:val="single" w:sz="6" w:space="0" w:color="CCCCCC"/>
                                <w:bottom w:val="single" w:sz="6" w:space="0" w:color="CCCCCC"/>
                                <w:right w:val="single" w:sz="6" w:space="0" w:color="CCCCCC"/>
                              </w:tcBorders>
                              <w:shd w:val="clear" w:color="auto" w:fill="E5E5E5"/>
                              <w:tcMar>
                                <w:top w:w="75" w:type="dxa"/>
                                <w:left w:w="75" w:type="dxa"/>
                                <w:bottom w:w="75" w:type="dxa"/>
                                <w:right w:w="75" w:type="dxa"/>
                              </w:tcMar>
                              <w:vAlign w:val="center"/>
                              <w:hideMark/>
                            </w:tcPr>
                            <w:p w:rsidR="00183B58" w:rsidRPr="00183B58" w:rsidRDefault="00183B58" w:rsidP="00183B58">
                              <w:pPr>
                                <w:spacing w:after="0" w:line="240" w:lineRule="auto"/>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Normatividad del Proceso</w:t>
                              </w:r>
                            </w:p>
                          </w:tc>
                          <w:tc>
                            <w:tcPr>
                              <w:tcW w:w="1297" w:type="dxa"/>
                              <w:tcBorders>
                                <w:top w:val="single" w:sz="6" w:space="0" w:color="CCCCCC"/>
                                <w:left w:val="single" w:sz="6" w:space="0" w:color="CCCCCC"/>
                                <w:bottom w:val="single" w:sz="6" w:space="0" w:color="CCCCCC"/>
                                <w:right w:val="single" w:sz="6" w:space="0" w:color="CCCCCC"/>
                              </w:tcBorders>
                              <w:shd w:val="clear" w:color="auto" w:fill="E5E5E5"/>
                              <w:tcMar>
                                <w:top w:w="75" w:type="dxa"/>
                                <w:left w:w="75" w:type="dxa"/>
                                <w:bottom w:w="75" w:type="dxa"/>
                                <w:right w:w="75" w:type="dxa"/>
                              </w:tcMar>
                              <w:vAlign w:val="center"/>
                              <w:hideMark/>
                            </w:tcPr>
                            <w:p w:rsidR="00183B58" w:rsidRPr="00183B58" w:rsidRDefault="00183B58" w:rsidP="00183B58">
                              <w:pPr>
                                <w:spacing w:after="0" w:line="240" w:lineRule="auto"/>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No Conformidad</w:t>
                              </w:r>
                            </w:p>
                          </w:tc>
                          <w:tc>
                            <w:tcPr>
                              <w:tcW w:w="3456" w:type="dxa"/>
                              <w:tcBorders>
                                <w:top w:val="single" w:sz="6" w:space="0" w:color="CCCCCC"/>
                                <w:left w:val="single" w:sz="6" w:space="0" w:color="CCCCCC"/>
                                <w:bottom w:val="single" w:sz="6" w:space="0" w:color="CCCCCC"/>
                                <w:right w:val="single" w:sz="6" w:space="0" w:color="CCCCCC"/>
                              </w:tcBorders>
                              <w:shd w:val="clear" w:color="auto" w:fill="E5E5E5"/>
                              <w:tcMar>
                                <w:top w:w="75" w:type="dxa"/>
                                <w:left w:w="75" w:type="dxa"/>
                                <w:bottom w:w="75" w:type="dxa"/>
                                <w:right w:w="75" w:type="dxa"/>
                              </w:tcMar>
                              <w:vAlign w:val="center"/>
                              <w:hideMark/>
                            </w:tcPr>
                            <w:p w:rsidR="00183B58" w:rsidRPr="00183B58" w:rsidRDefault="00183B58" w:rsidP="00413596">
                              <w:pPr>
                                <w:spacing w:after="0" w:line="240" w:lineRule="auto"/>
                                <w:jc w:val="both"/>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Tomando como referencia el formato de hoja de vida de fecha 16/05/2016 del estudio descentralizado de radio de la ciudad de Bucaramanga (Departamento de Santander), no se evidencia por parte del equipo auditor, el registro de la visita técnica de fecha 28 de abril de 2016 para el acompañamiento a la instalación provisional del estudio descentralizado de radio ubicado en la calle 116 No 31-69 Unidad residencial santa catalina (casa del contratista), la hoja de vida registra como última visita realizada por parte de BTESA %u2013 BROAD TELECOM. (Contratista de la AOM), el 16 de marzo del 2016. </w:t>
                              </w:r>
                              <w:r w:rsidRPr="00183B58">
                                <w:rPr>
                                  <w:rFonts w:ascii="Trebuchet MS" w:eastAsia="Times New Roman" w:hAnsi="Trebuchet MS" w:cs="Times New Roman"/>
                                  <w:color w:val="666666"/>
                                  <w:sz w:val="20"/>
                                  <w:szCs w:val="20"/>
                                  <w:lang w:eastAsia="es-CO"/>
                                </w:rPr>
                                <w:br/>
                                <w:t>Por lo anterior se observa por parte del equipo auditor que no se están llevando oportunamente los registros que evidencian el cumplimiento a la Obligación Numero (A28), obligaciones derivadas de la operación del contrato 1176/2015.</w:t>
                              </w:r>
                              <w:r w:rsidRPr="00183B58">
                                <w:rPr>
                                  <w:rFonts w:ascii="Trebuchet MS" w:eastAsia="Times New Roman" w:hAnsi="Trebuchet MS" w:cs="Times New Roman"/>
                                  <w:color w:val="666666"/>
                                  <w:sz w:val="20"/>
                                  <w:szCs w:val="20"/>
                                  <w:lang w:eastAsia="es-CO"/>
                                </w:rPr>
                                <w:br/>
                              </w:r>
                              <w:r w:rsidRPr="00183B58">
                                <w:rPr>
                                  <w:rFonts w:ascii="Trebuchet MS" w:eastAsia="Times New Roman" w:hAnsi="Trebuchet MS" w:cs="Times New Roman"/>
                                  <w:color w:val="666666"/>
                                  <w:sz w:val="20"/>
                                  <w:szCs w:val="20"/>
                                  <w:lang w:eastAsia="es-CO"/>
                                </w:rPr>
                                <w:br/>
                                <w:t>Obligación A28 - %u201CEstudios descentralizados%u201D: Prestar el apoyo requerido con visitas técnicas y gestión de conectividad en sitios de transmisión, así como brindar el soporte necesario para la instalación y distribución de necesidades eléctricas de los estudios.</w:t>
                              </w:r>
                            </w:p>
                          </w:tc>
                        </w:tr>
                        <w:tr w:rsidR="00183B58" w:rsidRPr="00183B58" w:rsidTr="00B404E3">
                          <w:tc>
                            <w:tcPr>
                              <w:tcW w:w="11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A13D47">
                              <w:pPr>
                                <w:spacing w:after="0" w:line="240" w:lineRule="auto"/>
                                <w:jc w:val="right"/>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RTVC - Sistema de Medios Públicos</w:t>
                              </w:r>
                            </w:p>
                          </w:tc>
                          <w:tc>
                            <w:tcPr>
                              <w:tcW w:w="124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183B58">
                              <w:pPr>
                                <w:spacing w:after="0" w:line="240" w:lineRule="auto"/>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Emisión y Transmisión</w:t>
                              </w:r>
                            </w:p>
                          </w:tc>
                          <w:tc>
                            <w:tcPr>
                              <w:tcW w:w="1656"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183B58">
                              <w:pPr>
                                <w:spacing w:after="0" w:line="240" w:lineRule="auto"/>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Normatividad del Proceso</w:t>
                              </w:r>
                            </w:p>
                          </w:tc>
                          <w:tc>
                            <w:tcPr>
                              <w:tcW w:w="1297"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183B58">
                              <w:pPr>
                                <w:spacing w:after="0" w:line="240" w:lineRule="auto"/>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No Conformidad</w:t>
                              </w:r>
                            </w:p>
                          </w:tc>
                          <w:tc>
                            <w:tcPr>
                              <w:tcW w:w="3456"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413596">
                              <w:pPr>
                                <w:spacing w:after="0" w:line="240" w:lineRule="auto"/>
                                <w:jc w:val="both"/>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 xml:space="preserve">Al verificar las condiciones bajo las cuales se realizó el traslado de los equipos del estudio descentralizado de radio de la ciudad de Bucaramanga - corporación </w:t>
                              </w:r>
                              <w:proofErr w:type="spellStart"/>
                              <w:r w:rsidRPr="00183B58">
                                <w:rPr>
                                  <w:rFonts w:ascii="Trebuchet MS" w:eastAsia="Times New Roman" w:hAnsi="Trebuchet MS" w:cs="Times New Roman"/>
                                  <w:color w:val="666666"/>
                                  <w:sz w:val="20"/>
                                  <w:szCs w:val="20"/>
                                  <w:lang w:eastAsia="es-CO"/>
                                </w:rPr>
                                <w:t>Neomundo</w:t>
                              </w:r>
                              <w:proofErr w:type="spellEnd"/>
                              <w:r w:rsidRPr="00183B58">
                                <w:rPr>
                                  <w:rFonts w:ascii="Trebuchet MS" w:eastAsia="Times New Roman" w:hAnsi="Trebuchet MS" w:cs="Times New Roman"/>
                                  <w:color w:val="666666"/>
                                  <w:sz w:val="20"/>
                                  <w:szCs w:val="20"/>
                                  <w:lang w:eastAsia="es-CO"/>
                                </w:rPr>
                                <w:t xml:space="preserve"> al nuevo sitio (provisional) ubicado en la calle 116 No. 31-69, no se evidencia por parte del supervisor y/o contratista encargado del inventario del estudio, el documento o medio por el cual se informó a la coordinación de servicios generales de RTVC, acerca del movimiento de inventarios de un lugar a otro. Lo anterior para que la coordinación de servicios generales, a través del asesor de seguros informara a la aseguradora Axa Colpatria y se tenga conocimiento del movimiento de los equipos asegurados y el cubrimiento a través de la póliza todo riesgo de daños materiales de RTVC.</w:t>
                              </w:r>
                              <w:r w:rsidRPr="00183B58">
                                <w:rPr>
                                  <w:rFonts w:ascii="Trebuchet MS" w:eastAsia="Times New Roman" w:hAnsi="Trebuchet MS" w:cs="Times New Roman"/>
                                  <w:color w:val="666666"/>
                                  <w:sz w:val="20"/>
                                  <w:szCs w:val="20"/>
                                  <w:lang w:eastAsia="es-CO"/>
                                </w:rPr>
                                <w:br/>
                              </w:r>
                              <w:r w:rsidRPr="00183B58">
                                <w:rPr>
                                  <w:rFonts w:ascii="Trebuchet MS" w:eastAsia="Times New Roman" w:hAnsi="Trebuchet MS" w:cs="Times New Roman"/>
                                  <w:color w:val="666666"/>
                                  <w:sz w:val="20"/>
                                  <w:szCs w:val="20"/>
                                  <w:lang w:eastAsia="es-CO"/>
                                </w:rPr>
                                <w:br/>
                                <w:t>Por lo anterior, el equipo auditor observa riesgo en el traslado de equipos y desconocimiento por parte de los responsables de los inventarios en el manejo de los mismos.</w:t>
                              </w:r>
                            </w:p>
                          </w:tc>
                        </w:tr>
                        <w:tr w:rsidR="00183B58" w:rsidRPr="00183B58" w:rsidTr="00B404E3">
                          <w:tc>
                            <w:tcPr>
                              <w:tcW w:w="1150" w:type="dxa"/>
                              <w:tcBorders>
                                <w:top w:val="single" w:sz="6" w:space="0" w:color="CCCCCC"/>
                                <w:left w:val="single" w:sz="6" w:space="0" w:color="CCCCCC"/>
                                <w:bottom w:val="single" w:sz="6" w:space="0" w:color="CCCCCC"/>
                                <w:right w:val="single" w:sz="6" w:space="0" w:color="CCCCCC"/>
                              </w:tcBorders>
                              <w:shd w:val="clear" w:color="auto" w:fill="E5E5E5"/>
                              <w:tcMar>
                                <w:top w:w="75" w:type="dxa"/>
                                <w:left w:w="75" w:type="dxa"/>
                                <w:bottom w:w="75" w:type="dxa"/>
                                <w:right w:w="75" w:type="dxa"/>
                              </w:tcMar>
                              <w:vAlign w:val="center"/>
                              <w:hideMark/>
                            </w:tcPr>
                            <w:p w:rsidR="00183B58" w:rsidRPr="00183B58" w:rsidRDefault="00183B58" w:rsidP="00A13D47">
                              <w:pPr>
                                <w:spacing w:after="0" w:line="240" w:lineRule="auto"/>
                                <w:jc w:val="right"/>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RTVC - Sistema de Medios Públicos</w:t>
                              </w:r>
                            </w:p>
                          </w:tc>
                          <w:tc>
                            <w:tcPr>
                              <w:tcW w:w="1245" w:type="dxa"/>
                              <w:tcBorders>
                                <w:top w:val="single" w:sz="6" w:space="0" w:color="CCCCCC"/>
                                <w:left w:val="single" w:sz="6" w:space="0" w:color="CCCCCC"/>
                                <w:bottom w:val="single" w:sz="6" w:space="0" w:color="CCCCCC"/>
                                <w:right w:val="single" w:sz="6" w:space="0" w:color="CCCCCC"/>
                              </w:tcBorders>
                              <w:shd w:val="clear" w:color="auto" w:fill="E5E5E5"/>
                              <w:tcMar>
                                <w:top w:w="75" w:type="dxa"/>
                                <w:left w:w="75" w:type="dxa"/>
                                <w:bottom w:w="75" w:type="dxa"/>
                                <w:right w:w="75" w:type="dxa"/>
                              </w:tcMar>
                              <w:vAlign w:val="center"/>
                              <w:hideMark/>
                            </w:tcPr>
                            <w:p w:rsidR="00183B58" w:rsidRPr="00183B58" w:rsidRDefault="00183B58" w:rsidP="00183B58">
                              <w:pPr>
                                <w:spacing w:after="0" w:line="240" w:lineRule="auto"/>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Emisión y Transmisión</w:t>
                              </w:r>
                            </w:p>
                          </w:tc>
                          <w:tc>
                            <w:tcPr>
                              <w:tcW w:w="1656" w:type="dxa"/>
                              <w:tcBorders>
                                <w:top w:val="single" w:sz="6" w:space="0" w:color="CCCCCC"/>
                                <w:left w:val="single" w:sz="6" w:space="0" w:color="CCCCCC"/>
                                <w:bottom w:val="single" w:sz="6" w:space="0" w:color="CCCCCC"/>
                                <w:right w:val="single" w:sz="6" w:space="0" w:color="CCCCCC"/>
                              </w:tcBorders>
                              <w:shd w:val="clear" w:color="auto" w:fill="E5E5E5"/>
                              <w:tcMar>
                                <w:top w:w="75" w:type="dxa"/>
                                <w:left w:w="75" w:type="dxa"/>
                                <w:bottom w:w="75" w:type="dxa"/>
                                <w:right w:w="75" w:type="dxa"/>
                              </w:tcMar>
                              <w:vAlign w:val="center"/>
                              <w:hideMark/>
                            </w:tcPr>
                            <w:p w:rsidR="00183B58" w:rsidRPr="00183B58" w:rsidRDefault="00183B58" w:rsidP="00183B58">
                              <w:pPr>
                                <w:spacing w:after="0" w:line="240" w:lineRule="auto"/>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MECI 1000 3 EJE TRANSVERSAL: INFORMACION Y COMUNICACION</w:t>
                              </w:r>
                            </w:p>
                          </w:tc>
                          <w:tc>
                            <w:tcPr>
                              <w:tcW w:w="1297" w:type="dxa"/>
                              <w:tcBorders>
                                <w:top w:val="single" w:sz="6" w:space="0" w:color="CCCCCC"/>
                                <w:left w:val="single" w:sz="6" w:space="0" w:color="CCCCCC"/>
                                <w:bottom w:val="single" w:sz="6" w:space="0" w:color="CCCCCC"/>
                                <w:right w:val="single" w:sz="6" w:space="0" w:color="CCCCCC"/>
                              </w:tcBorders>
                              <w:shd w:val="clear" w:color="auto" w:fill="E5E5E5"/>
                              <w:tcMar>
                                <w:top w:w="75" w:type="dxa"/>
                                <w:left w:w="75" w:type="dxa"/>
                                <w:bottom w:w="75" w:type="dxa"/>
                                <w:right w:w="75" w:type="dxa"/>
                              </w:tcMar>
                              <w:vAlign w:val="center"/>
                              <w:hideMark/>
                            </w:tcPr>
                            <w:p w:rsidR="00183B58" w:rsidRPr="00183B58" w:rsidRDefault="00183B58" w:rsidP="00183B58">
                              <w:pPr>
                                <w:spacing w:after="0" w:line="240" w:lineRule="auto"/>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No Conformidad</w:t>
                              </w:r>
                            </w:p>
                          </w:tc>
                          <w:tc>
                            <w:tcPr>
                              <w:tcW w:w="3456" w:type="dxa"/>
                              <w:tcBorders>
                                <w:top w:val="single" w:sz="6" w:space="0" w:color="CCCCCC"/>
                                <w:left w:val="single" w:sz="6" w:space="0" w:color="CCCCCC"/>
                                <w:bottom w:val="single" w:sz="6" w:space="0" w:color="CCCCCC"/>
                                <w:right w:val="single" w:sz="6" w:space="0" w:color="CCCCCC"/>
                              </w:tcBorders>
                              <w:shd w:val="clear" w:color="auto" w:fill="E5E5E5"/>
                              <w:tcMar>
                                <w:top w:w="75" w:type="dxa"/>
                                <w:left w:w="75" w:type="dxa"/>
                                <w:bottom w:w="75" w:type="dxa"/>
                                <w:right w:w="75" w:type="dxa"/>
                              </w:tcMar>
                              <w:vAlign w:val="center"/>
                              <w:hideMark/>
                            </w:tcPr>
                            <w:p w:rsidR="00183B58" w:rsidRPr="00183B58" w:rsidRDefault="00183B58" w:rsidP="00413596">
                              <w:pPr>
                                <w:spacing w:after="0" w:line="240" w:lineRule="auto"/>
                                <w:jc w:val="both"/>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Al verificar la cuenta del sistema Orfeo de las áreas que conforman el Proceso se evidenció que existen documentos desde el 13 de enero de 2014 sin ser digitalizados. </w:t>
                              </w:r>
                              <w:r w:rsidRPr="00183B58">
                                <w:rPr>
                                  <w:rFonts w:ascii="Trebuchet MS" w:eastAsia="Times New Roman" w:hAnsi="Trebuchet MS" w:cs="Times New Roman"/>
                                  <w:color w:val="666666"/>
                                  <w:sz w:val="20"/>
                                  <w:szCs w:val="20"/>
                                  <w:lang w:eastAsia="es-CO"/>
                                </w:rPr>
                                <w:br/>
                                <w:t>%u2022 24 archivos del 2014 y 46 archivos del 2015- Coordinación Emisión de Radio</w:t>
                              </w:r>
                              <w:r w:rsidRPr="00183B58">
                                <w:rPr>
                                  <w:rFonts w:ascii="Trebuchet MS" w:eastAsia="Times New Roman" w:hAnsi="Trebuchet MS" w:cs="Times New Roman"/>
                                  <w:color w:val="666666"/>
                                  <w:sz w:val="20"/>
                                  <w:szCs w:val="20"/>
                                  <w:lang w:eastAsia="es-CO"/>
                                </w:rPr>
                                <w:br/>
                                <w:t>Incumpliendo lo anterior, con la trazabilidad en gestión documental definida por el sistema ORFEO</w:t>
                              </w:r>
                            </w:p>
                          </w:tc>
                        </w:tr>
                        <w:tr w:rsidR="00183B58" w:rsidRPr="00183B58" w:rsidTr="00B404E3">
                          <w:tc>
                            <w:tcPr>
                              <w:tcW w:w="11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A13D47">
                              <w:pPr>
                                <w:spacing w:after="0" w:line="240" w:lineRule="auto"/>
                                <w:jc w:val="right"/>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RTVC - Sistema de Medios Públicos</w:t>
                              </w:r>
                            </w:p>
                          </w:tc>
                          <w:tc>
                            <w:tcPr>
                              <w:tcW w:w="124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183B58">
                              <w:pPr>
                                <w:spacing w:after="0" w:line="240" w:lineRule="auto"/>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Emisión y Transmisión</w:t>
                              </w:r>
                            </w:p>
                          </w:tc>
                          <w:tc>
                            <w:tcPr>
                              <w:tcW w:w="1656"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183B58">
                              <w:pPr>
                                <w:spacing w:after="0" w:line="240" w:lineRule="auto"/>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Normatividad del Proceso</w:t>
                              </w:r>
                            </w:p>
                          </w:tc>
                          <w:tc>
                            <w:tcPr>
                              <w:tcW w:w="1297"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183B58">
                              <w:pPr>
                                <w:spacing w:after="0" w:line="240" w:lineRule="auto"/>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Observación</w:t>
                              </w:r>
                            </w:p>
                          </w:tc>
                          <w:tc>
                            <w:tcPr>
                              <w:tcW w:w="3456"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413596">
                              <w:pPr>
                                <w:spacing w:after="0" w:line="240" w:lineRule="auto"/>
                                <w:jc w:val="both"/>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Al realizar la verificación del inventario que se encuentra en el Estudio, y el cual todo está bajo la responsabilidad de la Contratista ANA MARÍA MESA VILLEGAS no se evidencio el activo: COMPUTADOR PORTÁTIL Marca DELL, placa RTVC: 4180274, Al consultar a la Contratista sobre esta novedad, ella responde que la entrada y salida de estos equipos han sido realizadas por el Sr. Juan Camilo Varón (Subgerencia de Radio), sin dejar registro físico que evidencien estos movimientos de inventarios. </w:t>
                              </w:r>
                              <w:r w:rsidRPr="00183B58">
                                <w:rPr>
                                  <w:rFonts w:ascii="Trebuchet MS" w:eastAsia="Times New Roman" w:hAnsi="Trebuchet MS" w:cs="Times New Roman"/>
                                  <w:color w:val="666666"/>
                                  <w:sz w:val="20"/>
                                  <w:szCs w:val="20"/>
                                  <w:lang w:eastAsia="es-CO"/>
                                </w:rPr>
                                <w:br/>
                                <w:t>Por lo anterior, el equipo auditor recomienda establecer controles para llevar un registro físico en el estudio, en el cual se evidencien y relacionen los movimientos de ingreso y salida de los inventarios.</w:t>
                              </w:r>
                            </w:p>
                          </w:tc>
                        </w:tr>
                        <w:tr w:rsidR="00183B58" w:rsidRPr="00183B58" w:rsidTr="00B404E3">
                          <w:tc>
                            <w:tcPr>
                              <w:tcW w:w="1150" w:type="dxa"/>
                              <w:tcBorders>
                                <w:top w:val="single" w:sz="6" w:space="0" w:color="CCCCCC"/>
                                <w:left w:val="single" w:sz="6" w:space="0" w:color="CCCCCC"/>
                                <w:bottom w:val="single" w:sz="6" w:space="0" w:color="CCCCCC"/>
                                <w:right w:val="single" w:sz="6" w:space="0" w:color="CCCCCC"/>
                              </w:tcBorders>
                              <w:shd w:val="clear" w:color="auto" w:fill="E5E5E5"/>
                              <w:tcMar>
                                <w:top w:w="75" w:type="dxa"/>
                                <w:left w:w="75" w:type="dxa"/>
                                <w:bottom w:w="75" w:type="dxa"/>
                                <w:right w:w="75" w:type="dxa"/>
                              </w:tcMar>
                              <w:vAlign w:val="center"/>
                              <w:hideMark/>
                            </w:tcPr>
                            <w:p w:rsidR="00183B58" w:rsidRPr="00183B58" w:rsidRDefault="00183B58" w:rsidP="00A13D47">
                              <w:pPr>
                                <w:spacing w:after="0" w:line="240" w:lineRule="auto"/>
                                <w:jc w:val="right"/>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RTVC - Sistema de Medios Públicos</w:t>
                              </w:r>
                            </w:p>
                          </w:tc>
                          <w:tc>
                            <w:tcPr>
                              <w:tcW w:w="1245" w:type="dxa"/>
                              <w:tcBorders>
                                <w:top w:val="single" w:sz="6" w:space="0" w:color="CCCCCC"/>
                                <w:left w:val="single" w:sz="6" w:space="0" w:color="CCCCCC"/>
                                <w:bottom w:val="single" w:sz="6" w:space="0" w:color="CCCCCC"/>
                                <w:right w:val="single" w:sz="6" w:space="0" w:color="CCCCCC"/>
                              </w:tcBorders>
                              <w:shd w:val="clear" w:color="auto" w:fill="E5E5E5"/>
                              <w:tcMar>
                                <w:top w:w="75" w:type="dxa"/>
                                <w:left w:w="75" w:type="dxa"/>
                                <w:bottom w:w="75" w:type="dxa"/>
                                <w:right w:w="75" w:type="dxa"/>
                              </w:tcMar>
                              <w:vAlign w:val="center"/>
                              <w:hideMark/>
                            </w:tcPr>
                            <w:p w:rsidR="00183B58" w:rsidRPr="00183B58" w:rsidRDefault="00183B58" w:rsidP="00183B58">
                              <w:pPr>
                                <w:spacing w:after="0" w:line="240" w:lineRule="auto"/>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Emisión y Transmisión</w:t>
                              </w:r>
                            </w:p>
                          </w:tc>
                          <w:tc>
                            <w:tcPr>
                              <w:tcW w:w="1656" w:type="dxa"/>
                              <w:tcBorders>
                                <w:top w:val="single" w:sz="6" w:space="0" w:color="CCCCCC"/>
                                <w:left w:val="single" w:sz="6" w:space="0" w:color="CCCCCC"/>
                                <w:bottom w:val="single" w:sz="6" w:space="0" w:color="CCCCCC"/>
                                <w:right w:val="single" w:sz="6" w:space="0" w:color="CCCCCC"/>
                              </w:tcBorders>
                              <w:shd w:val="clear" w:color="auto" w:fill="E5E5E5"/>
                              <w:tcMar>
                                <w:top w:w="75" w:type="dxa"/>
                                <w:left w:w="75" w:type="dxa"/>
                                <w:bottom w:w="75" w:type="dxa"/>
                                <w:right w:w="75" w:type="dxa"/>
                              </w:tcMar>
                              <w:vAlign w:val="center"/>
                              <w:hideMark/>
                            </w:tcPr>
                            <w:p w:rsidR="00183B58" w:rsidRPr="00183B58" w:rsidRDefault="00183B58" w:rsidP="00183B58">
                              <w:pPr>
                                <w:spacing w:after="0" w:line="240" w:lineRule="auto"/>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MECI 1000 1.3 COMPONENTE ADMINISTRACION DEL RIESGO</w:t>
                              </w:r>
                            </w:p>
                          </w:tc>
                          <w:tc>
                            <w:tcPr>
                              <w:tcW w:w="1297" w:type="dxa"/>
                              <w:tcBorders>
                                <w:top w:val="single" w:sz="6" w:space="0" w:color="CCCCCC"/>
                                <w:left w:val="single" w:sz="6" w:space="0" w:color="CCCCCC"/>
                                <w:bottom w:val="single" w:sz="6" w:space="0" w:color="CCCCCC"/>
                                <w:right w:val="single" w:sz="6" w:space="0" w:color="CCCCCC"/>
                              </w:tcBorders>
                              <w:shd w:val="clear" w:color="auto" w:fill="E5E5E5"/>
                              <w:tcMar>
                                <w:top w:w="75" w:type="dxa"/>
                                <w:left w:w="75" w:type="dxa"/>
                                <w:bottom w:w="75" w:type="dxa"/>
                                <w:right w:w="75" w:type="dxa"/>
                              </w:tcMar>
                              <w:vAlign w:val="center"/>
                              <w:hideMark/>
                            </w:tcPr>
                            <w:p w:rsidR="00183B58" w:rsidRPr="00183B58" w:rsidRDefault="00183B58" w:rsidP="00183B58">
                              <w:pPr>
                                <w:spacing w:after="0" w:line="240" w:lineRule="auto"/>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Observación</w:t>
                              </w:r>
                            </w:p>
                          </w:tc>
                          <w:tc>
                            <w:tcPr>
                              <w:tcW w:w="3456" w:type="dxa"/>
                              <w:tcBorders>
                                <w:top w:val="single" w:sz="6" w:space="0" w:color="CCCCCC"/>
                                <w:left w:val="single" w:sz="6" w:space="0" w:color="CCCCCC"/>
                                <w:bottom w:val="single" w:sz="6" w:space="0" w:color="CCCCCC"/>
                                <w:right w:val="single" w:sz="6" w:space="0" w:color="CCCCCC"/>
                              </w:tcBorders>
                              <w:shd w:val="clear" w:color="auto" w:fill="E5E5E5"/>
                              <w:tcMar>
                                <w:top w:w="75" w:type="dxa"/>
                                <w:left w:w="75" w:type="dxa"/>
                                <w:bottom w:w="75" w:type="dxa"/>
                                <w:right w:w="75" w:type="dxa"/>
                              </w:tcMar>
                              <w:vAlign w:val="center"/>
                              <w:hideMark/>
                            </w:tcPr>
                            <w:p w:rsidR="00183B58" w:rsidRPr="00183B58" w:rsidRDefault="00183B58" w:rsidP="00413596">
                              <w:pPr>
                                <w:spacing w:after="0" w:line="240" w:lineRule="auto"/>
                                <w:jc w:val="both"/>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La Oficina de Control Interno, adelanto el seguimiento al mapa de riesgos del proceso emisión y transmisión 2015, verifico la efectividad a los controles incorporados, y el cumplimiento a la actualización y registros que se deben adelantar en el sistema de planeación y gestión - Kawak - Riesgos, por lo anterior recomienda para la evaluación de los mapas de riesgos vigencia 2016, adjuntar en el sistema los archivos que evidencian la documentación de los controles existentes</w:t>
                              </w:r>
                            </w:p>
                          </w:tc>
                        </w:tr>
                        <w:tr w:rsidR="00183B58" w:rsidRPr="00183B58" w:rsidTr="00B404E3">
                          <w:tc>
                            <w:tcPr>
                              <w:tcW w:w="11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A13D47">
                              <w:pPr>
                                <w:spacing w:after="0" w:line="240" w:lineRule="auto"/>
                                <w:jc w:val="right"/>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RTVC - Sistema de Medios Públicos</w:t>
                              </w:r>
                            </w:p>
                          </w:tc>
                          <w:tc>
                            <w:tcPr>
                              <w:tcW w:w="124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183B58">
                              <w:pPr>
                                <w:spacing w:after="0" w:line="240" w:lineRule="auto"/>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Emisión y Transmisión</w:t>
                              </w:r>
                            </w:p>
                          </w:tc>
                          <w:tc>
                            <w:tcPr>
                              <w:tcW w:w="1656"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183B58">
                              <w:pPr>
                                <w:spacing w:after="0" w:line="240" w:lineRule="auto"/>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 xml:space="preserve">Decreto 943/2014 - </w:t>
                              </w:r>
                              <w:proofErr w:type="spellStart"/>
                              <w:r w:rsidRPr="00183B58">
                                <w:rPr>
                                  <w:rFonts w:ascii="Trebuchet MS" w:eastAsia="Times New Roman" w:hAnsi="Trebuchet MS" w:cs="Times New Roman"/>
                                  <w:color w:val="666666"/>
                                  <w:sz w:val="20"/>
                                  <w:szCs w:val="20"/>
                                  <w:lang w:eastAsia="es-CO"/>
                                </w:rPr>
                                <w:t>Meci</w:t>
                              </w:r>
                              <w:proofErr w:type="spellEnd"/>
                            </w:p>
                          </w:tc>
                          <w:tc>
                            <w:tcPr>
                              <w:tcW w:w="1297"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183B58">
                              <w:pPr>
                                <w:spacing w:after="0" w:line="240" w:lineRule="auto"/>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No Conformidad</w:t>
                              </w:r>
                            </w:p>
                          </w:tc>
                          <w:tc>
                            <w:tcPr>
                              <w:tcW w:w="3456"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83B58" w:rsidRPr="00183B58" w:rsidRDefault="00183B58" w:rsidP="00413596">
                              <w:pPr>
                                <w:spacing w:after="0" w:line="240" w:lineRule="auto"/>
                                <w:jc w:val="both"/>
                                <w:rPr>
                                  <w:rFonts w:ascii="Trebuchet MS" w:eastAsia="Times New Roman" w:hAnsi="Trebuchet MS" w:cs="Times New Roman"/>
                                  <w:color w:val="666666"/>
                                  <w:sz w:val="20"/>
                                  <w:szCs w:val="20"/>
                                  <w:lang w:eastAsia="es-CO"/>
                                </w:rPr>
                              </w:pPr>
                              <w:r w:rsidRPr="00183B58">
                                <w:rPr>
                                  <w:rFonts w:ascii="Trebuchet MS" w:eastAsia="Times New Roman" w:hAnsi="Trebuchet MS" w:cs="Times New Roman"/>
                                  <w:color w:val="666666"/>
                                  <w:sz w:val="20"/>
                                  <w:szCs w:val="20"/>
                                  <w:lang w:eastAsia="es-CO"/>
                                </w:rPr>
                                <w:t>Al verificar los equipos de cómputo Marca DELL placas RTVC 4180265, 4180266 y 4180267 se evidencia en las maquinas, que las cuentas de acceso tienen privilegios de usuario administrador (custodio ANA MARÃ</w:t>
                              </w:r>
                              <w:r w:rsidRPr="00183B58">
                                <w:rPr>
                                  <w:rFonts w:ascii="Trebuchet MS" w:eastAsia="Times New Roman" w:hAnsi="Trebuchet MS" w:cs="Trebuchet MS"/>
                                  <w:color w:val="666666"/>
                                  <w:sz w:val="20"/>
                                  <w:szCs w:val="20"/>
                                  <w:lang w:eastAsia="es-CO"/>
                                </w:rPr>
                                <w:t></w:t>
                              </w:r>
                              <w:r w:rsidRPr="00183B58">
                                <w:rPr>
                                  <w:rFonts w:ascii="Trebuchet MS" w:eastAsia="Times New Roman" w:hAnsi="Trebuchet MS" w:cs="Times New Roman"/>
                                  <w:color w:val="666666"/>
                                  <w:sz w:val="20"/>
                                  <w:szCs w:val="20"/>
                                  <w:lang w:eastAsia="es-CO"/>
                                </w:rPr>
                                <w:t>A MESA VILLEGAS). Al consultar los registros de la Coordinación de TI sobre la relación de Usuarios Estándar/Usuarios Administradores d</w:t>
                              </w:r>
                              <w:r w:rsidR="00A13D47">
                                <w:rPr>
                                  <w:rFonts w:ascii="Trebuchet MS" w:eastAsia="Times New Roman" w:hAnsi="Trebuchet MS" w:cs="Times New Roman"/>
                                  <w:color w:val="666666"/>
                                  <w:sz w:val="20"/>
                                  <w:szCs w:val="20"/>
                                  <w:lang w:eastAsia="es-CO"/>
                                </w:rPr>
                                <w:t>e RTVC, se observa que Ana Marí</w:t>
                              </w:r>
                              <w:r w:rsidR="00A13D47" w:rsidRPr="00183B58">
                                <w:rPr>
                                  <w:rFonts w:ascii="Trebuchet MS" w:eastAsia="Times New Roman" w:hAnsi="Trebuchet MS" w:cs="Times New Roman"/>
                                  <w:color w:val="666666"/>
                                  <w:sz w:val="20"/>
                                  <w:szCs w:val="20"/>
                                  <w:lang w:eastAsia="es-CO"/>
                                </w:rPr>
                                <w:t>a</w:t>
                              </w:r>
                              <w:r w:rsidRPr="00183B58">
                                <w:rPr>
                                  <w:rFonts w:ascii="Trebuchet MS" w:eastAsia="Times New Roman" w:hAnsi="Trebuchet MS" w:cs="Times New Roman"/>
                                  <w:color w:val="666666"/>
                                  <w:sz w:val="20"/>
                                  <w:szCs w:val="20"/>
                                  <w:lang w:eastAsia="es-CO"/>
                                </w:rPr>
                                <w:t xml:space="preserve"> no está incluida en este registro con los equipos en mención. De acuerdo a lo anterior se identifica que existe un riesgo en materia de cumplimiento de derechos de autor, ya que no existen controles eficientes sobre la autorización para la instalación de software, pudiéndose incurrir en la instalación de software no autorizado y/o ilegal por personal del sitio</w:t>
                              </w:r>
                            </w:p>
                          </w:tc>
                        </w:tr>
                      </w:tbl>
                      <w:p w:rsidR="00183B58" w:rsidRPr="00183B58" w:rsidRDefault="00183B58" w:rsidP="00183B58">
                        <w:pPr>
                          <w:spacing w:after="0" w:line="240" w:lineRule="auto"/>
                          <w:rPr>
                            <w:rFonts w:ascii="Verdana" w:eastAsia="Times New Roman" w:hAnsi="Verdana" w:cs="Times New Roman"/>
                            <w:sz w:val="15"/>
                            <w:szCs w:val="15"/>
                            <w:lang w:eastAsia="es-CO"/>
                          </w:rPr>
                        </w:pPr>
                      </w:p>
                    </w:tc>
                  </w:tr>
                </w:tbl>
                <w:p w:rsidR="00183B58" w:rsidRPr="00183B58" w:rsidRDefault="00183B58" w:rsidP="00183B58">
                  <w:pPr>
                    <w:spacing w:after="0" w:line="240" w:lineRule="auto"/>
                    <w:rPr>
                      <w:rFonts w:ascii="Verdana" w:eastAsia="Times New Roman" w:hAnsi="Verdana" w:cs="Times New Roman"/>
                      <w:sz w:val="15"/>
                      <w:szCs w:val="15"/>
                      <w:lang w:eastAsia="es-CO"/>
                    </w:rPr>
                  </w:pPr>
                </w:p>
              </w:tc>
            </w:tr>
          </w:tbl>
          <w:p w:rsidR="00183B58" w:rsidRPr="00183B58" w:rsidRDefault="00183B58" w:rsidP="00183B58">
            <w:pPr>
              <w:pBdr>
                <w:top w:val="single" w:sz="6" w:space="1" w:color="auto"/>
              </w:pBdr>
              <w:spacing w:after="0" w:line="240" w:lineRule="auto"/>
              <w:jc w:val="center"/>
              <w:rPr>
                <w:rFonts w:ascii="Arial" w:eastAsia="Times New Roman" w:hAnsi="Arial" w:cs="Arial"/>
                <w:vanish/>
                <w:sz w:val="16"/>
                <w:szCs w:val="16"/>
                <w:lang w:eastAsia="es-CO"/>
              </w:rPr>
            </w:pPr>
            <w:r w:rsidRPr="00183B58">
              <w:rPr>
                <w:rFonts w:ascii="Arial" w:eastAsia="Times New Roman" w:hAnsi="Arial" w:cs="Arial"/>
                <w:vanish/>
                <w:sz w:val="16"/>
                <w:szCs w:val="16"/>
                <w:lang w:eastAsia="es-CO"/>
              </w:rPr>
              <w:t>Final del formulario</w:t>
            </w:r>
          </w:p>
          <w:p w:rsidR="00183B58" w:rsidRPr="00183B58" w:rsidRDefault="00183B58" w:rsidP="00183B58">
            <w:pPr>
              <w:spacing w:after="0" w:line="240" w:lineRule="auto"/>
              <w:jc w:val="center"/>
              <w:rPr>
                <w:rFonts w:ascii="Verdana" w:eastAsia="Times New Roman" w:hAnsi="Verdana" w:cs="Times New Roman"/>
                <w:sz w:val="15"/>
                <w:szCs w:val="15"/>
                <w:lang w:eastAsia="es-CO"/>
              </w:rPr>
            </w:pPr>
          </w:p>
        </w:tc>
        <w:tc>
          <w:tcPr>
            <w:tcW w:w="0" w:type="auto"/>
            <w:vAlign w:val="center"/>
            <w:hideMark/>
          </w:tcPr>
          <w:p w:rsidR="00183B58" w:rsidRPr="00183B58" w:rsidRDefault="00183B58" w:rsidP="00183B58">
            <w:pPr>
              <w:spacing w:after="0" w:line="240" w:lineRule="auto"/>
              <w:rPr>
                <w:rFonts w:ascii="Times New Roman" w:eastAsia="Times New Roman" w:hAnsi="Times New Roman" w:cs="Times New Roman"/>
                <w:sz w:val="20"/>
                <w:szCs w:val="20"/>
                <w:lang w:eastAsia="es-CO"/>
              </w:rPr>
            </w:pPr>
          </w:p>
        </w:tc>
        <w:tc>
          <w:tcPr>
            <w:tcW w:w="0" w:type="auto"/>
            <w:vAlign w:val="center"/>
            <w:hideMark/>
          </w:tcPr>
          <w:p w:rsidR="00183B58" w:rsidRPr="00183B58" w:rsidRDefault="00183B58" w:rsidP="00183B58">
            <w:pPr>
              <w:spacing w:after="0" w:line="240" w:lineRule="auto"/>
              <w:rPr>
                <w:rFonts w:ascii="Times New Roman" w:eastAsia="Times New Roman" w:hAnsi="Times New Roman" w:cs="Times New Roman"/>
                <w:sz w:val="20"/>
                <w:szCs w:val="20"/>
                <w:lang w:eastAsia="es-CO"/>
              </w:rPr>
            </w:pPr>
          </w:p>
        </w:tc>
        <w:tc>
          <w:tcPr>
            <w:tcW w:w="0" w:type="auto"/>
            <w:vAlign w:val="center"/>
            <w:hideMark/>
          </w:tcPr>
          <w:p w:rsidR="00183B58" w:rsidRPr="00183B58" w:rsidRDefault="00183B58" w:rsidP="00183B58">
            <w:pPr>
              <w:spacing w:after="0" w:line="240" w:lineRule="auto"/>
              <w:rPr>
                <w:rFonts w:ascii="Times New Roman" w:eastAsia="Times New Roman" w:hAnsi="Times New Roman" w:cs="Times New Roman"/>
                <w:sz w:val="20"/>
                <w:szCs w:val="20"/>
                <w:lang w:eastAsia="es-CO"/>
              </w:rPr>
            </w:pPr>
          </w:p>
        </w:tc>
      </w:tr>
    </w:tbl>
    <w:p w:rsidR="00EC149E" w:rsidRPr="00413596" w:rsidRDefault="00183B58">
      <w:pPr>
        <w:rPr>
          <w:b/>
        </w:rPr>
      </w:pPr>
      <w:r w:rsidRPr="00413596">
        <w:rPr>
          <w:b/>
        </w:rPr>
        <w:t xml:space="preserve">Fuente: </w:t>
      </w:r>
      <w:r w:rsidR="00413596" w:rsidRPr="00413596">
        <w:rPr>
          <w:b/>
        </w:rPr>
        <w:t xml:space="preserve">Sistema de Planeación y Gestión Kawak. </w:t>
      </w:r>
      <w:r w:rsidRPr="00413596">
        <w:rPr>
          <w:b/>
        </w:rPr>
        <w:t>https://www.kawak.com.co/senalcolombia/aud_auditoria/aud_ver.php</w:t>
      </w:r>
    </w:p>
    <w:sectPr w:rsidR="00EC149E" w:rsidRPr="004135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B58"/>
    <w:rsid w:val="00183B58"/>
    <w:rsid w:val="00413596"/>
    <w:rsid w:val="008332BF"/>
    <w:rsid w:val="008F2BE7"/>
    <w:rsid w:val="00A13D47"/>
    <w:rsid w:val="00B404E3"/>
    <w:rsid w:val="00EC14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E5876"/>
  <w15:chartTrackingRefBased/>
  <w15:docId w15:val="{1C647948-149F-40FA-846B-0B6F3C31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83B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3B58"/>
    <w:rPr>
      <w:rFonts w:ascii="Times New Roman" w:eastAsia="Times New Roman" w:hAnsi="Times New Roman" w:cs="Times New Roman"/>
      <w:b/>
      <w:bCs/>
      <w:kern w:val="36"/>
      <w:sz w:val="48"/>
      <w:szCs w:val="48"/>
      <w:lang w:eastAsia="es-CO"/>
    </w:rPr>
  </w:style>
  <w:style w:type="paragraph" w:styleId="z-Principiodelformulario">
    <w:name w:val="HTML Top of Form"/>
    <w:basedOn w:val="Normal"/>
    <w:next w:val="Normal"/>
    <w:link w:val="z-PrincipiodelformularioCar"/>
    <w:hidden/>
    <w:uiPriority w:val="99"/>
    <w:semiHidden/>
    <w:unhideWhenUsed/>
    <w:rsid w:val="00183B58"/>
    <w:pPr>
      <w:pBdr>
        <w:bottom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PrincipiodelformularioCar">
    <w:name w:val="z-Principio del formulario Car"/>
    <w:basedOn w:val="Fuentedeprrafopredeter"/>
    <w:link w:val="z-Principiodelformulario"/>
    <w:uiPriority w:val="99"/>
    <w:semiHidden/>
    <w:rsid w:val="00183B58"/>
    <w:rPr>
      <w:rFonts w:ascii="Arial" w:eastAsia="Times New Roman" w:hAnsi="Arial" w:cs="Arial"/>
      <w:vanish/>
      <w:sz w:val="16"/>
      <w:szCs w:val="16"/>
      <w:lang w:eastAsia="es-CO"/>
    </w:rPr>
  </w:style>
  <w:style w:type="paragraph" w:styleId="NormalWeb">
    <w:name w:val="Normal (Web)"/>
    <w:basedOn w:val="Normal"/>
    <w:uiPriority w:val="99"/>
    <w:semiHidden/>
    <w:unhideWhenUsed/>
    <w:rsid w:val="00183B5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183B58"/>
    <w:rPr>
      <w:b/>
      <w:bCs/>
    </w:rPr>
  </w:style>
  <w:style w:type="character" w:styleId="Hipervnculo">
    <w:name w:val="Hyperlink"/>
    <w:basedOn w:val="Fuentedeprrafopredeter"/>
    <w:uiPriority w:val="99"/>
    <w:semiHidden/>
    <w:unhideWhenUsed/>
    <w:rsid w:val="00183B58"/>
    <w:rPr>
      <w:color w:val="0000FF"/>
      <w:u w:val="single"/>
    </w:rPr>
  </w:style>
  <w:style w:type="character" w:customStyle="1" w:styleId="apple-converted-space">
    <w:name w:val="apple-converted-space"/>
    <w:basedOn w:val="Fuentedeprrafopredeter"/>
    <w:rsid w:val="00183B58"/>
  </w:style>
  <w:style w:type="paragraph" w:styleId="z-Finaldelformulario">
    <w:name w:val="HTML Bottom of Form"/>
    <w:basedOn w:val="Normal"/>
    <w:next w:val="Normal"/>
    <w:link w:val="z-FinaldelformularioCar"/>
    <w:hidden/>
    <w:uiPriority w:val="99"/>
    <w:semiHidden/>
    <w:unhideWhenUsed/>
    <w:rsid w:val="00183B58"/>
    <w:pPr>
      <w:pBdr>
        <w:top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FinaldelformularioCar">
    <w:name w:val="z-Final del formulario Car"/>
    <w:basedOn w:val="Fuentedeprrafopredeter"/>
    <w:link w:val="z-Finaldelformulario"/>
    <w:uiPriority w:val="99"/>
    <w:semiHidden/>
    <w:rsid w:val="00183B58"/>
    <w:rPr>
      <w:rFonts w:ascii="Arial" w:eastAsia="Times New Roman" w:hAnsi="Arial" w:cs="Arial"/>
      <w:vanish/>
      <w:sz w:val="16"/>
      <w:szCs w:val="16"/>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994482">
      <w:bodyDiv w:val="1"/>
      <w:marLeft w:val="0"/>
      <w:marRight w:val="0"/>
      <w:marTop w:val="0"/>
      <w:marBottom w:val="0"/>
      <w:divBdr>
        <w:top w:val="none" w:sz="0" w:space="0" w:color="auto"/>
        <w:left w:val="none" w:sz="0" w:space="0" w:color="auto"/>
        <w:bottom w:val="none" w:sz="0" w:space="0" w:color="auto"/>
        <w:right w:val="none" w:sz="0" w:space="0" w:color="auto"/>
      </w:divBdr>
      <w:divsChild>
        <w:div w:id="1474448909">
          <w:marLeft w:val="0"/>
          <w:marRight w:val="0"/>
          <w:marTop w:val="0"/>
          <w:marBottom w:val="0"/>
          <w:divBdr>
            <w:top w:val="none" w:sz="0" w:space="0" w:color="auto"/>
            <w:left w:val="none" w:sz="0" w:space="0" w:color="auto"/>
            <w:bottom w:val="single" w:sz="6" w:space="4" w:color="CCCCCC"/>
            <w:right w:val="none" w:sz="0" w:space="0" w:color="auto"/>
          </w:divBdr>
        </w:div>
        <w:div w:id="1527716725">
          <w:marLeft w:val="0"/>
          <w:marRight w:val="75"/>
          <w:marTop w:val="75"/>
          <w:marBottom w:val="0"/>
          <w:divBdr>
            <w:top w:val="none" w:sz="0" w:space="0" w:color="auto"/>
            <w:left w:val="none" w:sz="0" w:space="0" w:color="auto"/>
            <w:bottom w:val="none" w:sz="0" w:space="0" w:color="auto"/>
            <w:right w:val="none" w:sz="0" w:space="0" w:color="auto"/>
          </w:divBdr>
        </w:div>
        <w:div w:id="1719665589">
          <w:marLeft w:val="0"/>
          <w:marRight w:val="0"/>
          <w:marTop w:val="0"/>
          <w:marBottom w:val="0"/>
          <w:divBdr>
            <w:top w:val="none" w:sz="0" w:space="0" w:color="auto"/>
            <w:left w:val="none" w:sz="0" w:space="0" w:color="auto"/>
            <w:bottom w:val="none" w:sz="0" w:space="0" w:color="auto"/>
            <w:right w:val="none" w:sz="0" w:space="0" w:color="auto"/>
          </w:divBdr>
        </w:div>
        <w:div w:id="1151169731">
          <w:marLeft w:val="0"/>
          <w:marRight w:val="0"/>
          <w:marTop w:val="0"/>
          <w:marBottom w:val="210"/>
          <w:divBdr>
            <w:top w:val="none" w:sz="0" w:space="0" w:color="auto"/>
            <w:left w:val="none" w:sz="0" w:space="0" w:color="auto"/>
            <w:bottom w:val="single" w:sz="12" w:space="4" w:color="918F8B"/>
            <w:right w:val="none" w:sz="0" w:space="0" w:color="auto"/>
          </w:divBdr>
        </w:div>
        <w:div w:id="60254653">
          <w:marLeft w:val="0"/>
          <w:marRight w:val="0"/>
          <w:marTop w:val="0"/>
          <w:marBottom w:val="0"/>
          <w:divBdr>
            <w:top w:val="none" w:sz="0" w:space="0" w:color="auto"/>
            <w:left w:val="none" w:sz="0" w:space="0" w:color="auto"/>
            <w:bottom w:val="none" w:sz="0" w:space="0" w:color="auto"/>
            <w:right w:val="none" w:sz="0" w:space="0" w:color="auto"/>
          </w:divBdr>
        </w:div>
        <w:div w:id="703018499">
          <w:marLeft w:val="0"/>
          <w:marRight w:val="0"/>
          <w:marTop w:val="0"/>
          <w:marBottom w:val="0"/>
          <w:divBdr>
            <w:top w:val="none" w:sz="0" w:space="0" w:color="auto"/>
            <w:left w:val="none" w:sz="0" w:space="0" w:color="auto"/>
            <w:bottom w:val="none" w:sz="0" w:space="0" w:color="auto"/>
            <w:right w:val="none" w:sz="0" w:space="0" w:color="auto"/>
          </w:divBdr>
        </w:div>
        <w:div w:id="1012100993">
          <w:marLeft w:val="0"/>
          <w:marRight w:val="0"/>
          <w:marTop w:val="0"/>
          <w:marBottom w:val="0"/>
          <w:divBdr>
            <w:top w:val="none" w:sz="0" w:space="0" w:color="auto"/>
            <w:left w:val="none" w:sz="0" w:space="0" w:color="auto"/>
            <w:bottom w:val="none" w:sz="0" w:space="0" w:color="auto"/>
            <w:right w:val="none" w:sz="0" w:space="0" w:color="auto"/>
          </w:divBdr>
        </w:div>
        <w:div w:id="1506091625">
          <w:marLeft w:val="0"/>
          <w:marRight w:val="0"/>
          <w:marTop w:val="0"/>
          <w:marBottom w:val="0"/>
          <w:divBdr>
            <w:top w:val="none" w:sz="0" w:space="0" w:color="auto"/>
            <w:left w:val="none" w:sz="0" w:space="0" w:color="auto"/>
            <w:bottom w:val="none" w:sz="0" w:space="0" w:color="auto"/>
            <w:right w:val="none" w:sz="0" w:space="0" w:color="auto"/>
          </w:divBdr>
        </w:div>
        <w:div w:id="455031343">
          <w:marLeft w:val="0"/>
          <w:marRight w:val="0"/>
          <w:marTop w:val="0"/>
          <w:marBottom w:val="0"/>
          <w:divBdr>
            <w:top w:val="none" w:sz="0" w:space="0" w:color="auto"/>
            <w:left w:val="none" w:sz="0" w:space="0" w:color="auto"/>
            <w:bottom w:val="none" w:sz="0" w:space="0" w:color="auto"/>
            <w:right w:val="none" w:sz="0" w:space="0" w:color="auto"/>
          </w:divBdr>
        </w:div>
        <w:div w:id="1204487665">
          <w:marLeft w:val="0"/>
          <w:marRight w:val="0"/>
          <w:marTop w:val="0"/>
          <w:marBottom w:val="0"/>
          <w:divBdr>
            <w:top w:val="none" w:sz="0" w:space="0" w:color="auto"/>
            <w:left w:val="none" w:sz="0" w:space="0" w:color="auto"/>
            <w:bottom w:val="none" w:sz="0" w:space="0" w:color="auto"/>
            <w:right w:val="none" w:sz="0" w:space="0" w:color="auto"/>
          </w:divBdr>
        </w:div>
        <w:div w:id="1777367409">
          <w:marLeft w:val="0"/>
          <w:marRight w:val="0"/>
          <w:marTop w:val="0"/>
          <w:marBottom w:val="0"/>
          <w:divBdr>
            <w:top w:val="none" w:sz="0" w:space="0" w:color="auto"/>
            <w:left w:val="none" w:sz="0" w:space="0" w:color="auto"/>
            <w:bottom w:val="none" w:sz="0" w:space="0" w:color="auto"/>
            <w:right w:val="none" w:sz="0" w:space="0" w:color="auto"/>
          </w:divBdr>
        </w:div>
        <w:div w:id="99036171">
          <w:marLeft w:val="0"/>
          <w:marRight w:val="0"/>
          <w:marTop w:val="0"/>
          <w:marBottom w:val="0"/>
          <w:divBdr>
            <w:top w:val="none" w:sz="0" w:space="0" w:color="auto"/>
            <w:left w:val="none" w:sz="0" w:space="0" w:color="auto"/>
            <w:bottom w:val="none" w:sz="0" w:space="0" w:color="auto"/>
            <w:right w:val="none" w:sz="0" w:space="0" w:color="auto"/>
          </w:divBdr>
        </w:div>
        <w:div w:id="1039279362">
          <w:marLeft w:val="0"/>
          <w:marRight w:val="0"/>
          <w:marTop w:val="0"/>
          <w:marBottom w:val="210"/>
          <w:divBdr>
            <w:top w:val="none" w:sz="0" w:space="0" w:color="auto"/>
            <w:left w:val="none" w:sz="0" w:space="0" w:color="auto"/>
            <w:bottom w:val="single" w:sz="12" w:space="4" w:color="918F8B"/>
            <w:right w:val="none" w:sz="0" w:space="0" w:color="auto"/>
          </w:divBdr>
        </w:div>
        <w:div w:id="1345859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wak.com.co/senalcolombia/rvg_revision_gerencial/drv_ver.php?llave=7" TargetMode="External"/><Relationship Id="rId5" Type="http://schemas.openxmlformats.org/officeDocument/2006/relationships/hyperlink" Target="https://www.kawak.com.co/senalcolombia/rvg_revision_gerencial/drv_ver.php?llave=7"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1662</Words>
  <Characters>9141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Julian Ayala Serra</dc:creator>
  <cp:keywords/>
  <dc:description/>
  <cp:lastModifiedBy>Oscar Julian Ayala Serra</cp:lastModifiedBy>
  <cp:revision>2</cp:revision>
  <dcterms:created xsi:type="dcterms:W3CDTF">2016-12-14T13:48:00Z</dcterms:created>
  <dcterms:modified xsi:type="dcterms:W3CDTF">2016-12-14T14:48:00Z</dcterms:modified>
</cp:coreProperties>
</file>